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5263C" w14:textId="2CC7282F" w:rsidR="00DD7381" w:rsidRPr="007604F2" w:rsidRDefault="00DD7381" w:rsidP="00DD7381">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GoBack"/>
      <w:r w:rsidRPr="007604F2">
        <w:rPr>
          <w:rFonts w:ascii="Arial" w:hAnsi="Arial" w:cs="Arial"/>
          <w:b/>
          <w:bCs/>
          <w:noProof/>
          <w:sz w:val="24"/>
          <w:szCs w:val="24"/>
        </w:rPr>
        <w:t>3GPP TSG RAN WG1 Meeting #</w:t>
      </w:r>
      <w:r>
        <w:rPr>
          <w:rFonts w:ascii="Arial" w:eastAsia="MS Mincho" w:hAnsi="Arial" w:cs="Arial"/>
          <w:b/>
          <w:bCs/>
          <w:noProof/>
          <w:sz w:val="24"/>
          <w:szCs w:val="24"/>
          <w:lang w:eastAsia="ja-JP"/>
        </w:rPr>
        <w:t>89</w:t>
      </w:r>
      <w:r>
        <w:rPr>
          <w:rFonts w:ascii="Arial" w:eastAsia="MS Mincho" w:hAnsi="Arial" w:cs="Arial"/>
          <w:b/>
          <w:bCs/>
          <w:noProof/>
          <w:sz w:val="24"/>
          <w:szCs w:val="24"/>
          <w:lang w:eastAsia="ja-JP"/>
        </w:rPr>
        <w:tab/>
      </w:r>
      <w:r w:rsidRPr="00C844BE">
        <w:rPr>
          <w:rFonts w:ascii="Arial" w:hAnsi="Arial" w:cs="Arial"/>
          <w:b/>
          <w:bCs/>
          <w:noProof/>
          <w:sz w:val="24"/>
          <w:szCs w:val="24"/>
        </w:rPr>
        <w:t xml:space="preserve">       </w:t>
      </w:r>
      <w:r w:rsidRPr="00C844BE">
        <w:rPr>
          <w:rFonts w:ascii="Arial" w:hAnsi="Arial" w:cs="Arial"/>
          <w:b/>
          <w:bCs/>
          <w:noProof/>
          <w:sz w:val="24"/>
          <w:szCs w:val="24"/>
        </w:rPr>
        <w:tab/>
      </w:r>
      <w:r w:rsidRPr="007604F2">
        <w:rPr>
          <w:rFonts w:ascii="Arial" w:hAnsi="Arial" w:cs="Arial"/>
          <w:b/>
          <w:bCs/>
          <w:noProof/>
          <w:sz w:val="24"/>
          <w:szCs w:val="24"/>
        </w:rPr>
        <w:t>R1-</w:t>
      </w:r>
      <w:r w:rsidRPr="00C844BE">
        <w:rPr>
          <w:rFonts w:ascii="Arial" w:hAnsi="Arial" w:cs="Arial"/>
          <w:b/>
          <w:bCs/>
          <w:noProof/>
          <w:sz w:val="24"/>
          <w:szCs w:val="24"/>
        </w:rPr>
        <w:t>170</w:t>
      </w:r>
      <w:r w:rsidR="006140E2">
        <w:rPr>
          <w:rFonts w:ascii="Arial" w:hAnsi="Arial" w:cs="Arial"/>
          <w:b/>
          <w:bCs/>
          <w:noProof/>
          <w:sz w:val="24"/>
          <w:szCs w:val="24"/>
        </w:rPr>
        <w:t>8879</w:t>
      </w:r>
    </w:p>
    <w:p w14:paraId="3FC89201" w14:textId="77777777" w:rsidR="00DD7381" w:rsidRPr="007604F2" w:rsidRDefault="00DD7381" w:rsidP="00DD7381">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Hangzhou</w:t>
      </w:r>
      <w:r w:rsidRPr="007604F2">
        <w:rPr>
          <w:rFonts w:ascii="Arial" w:hAnsi="Arial" w:cs="Arial"/>
          <w:b/>
          <w:bCs/>
          <w:noProof/>
          <w:sz w:val="24"/>
          <w:szCs w:val="24"/>
        </w:rPr>
        <w:t xml:space="preserve">, </w:t>
      </w:r>
      <w:r>
        <w:rPr>
          <w:rFonts w:ascii="Arial" w:hAnsi="Arial" w:cs="Arial"/>
          <w:b/>
          <w:bCs/>
          <w:noProof/>
          <w:sz w:val="24"/>
          <w:szCs w:val="24"/>
        </w:rPr>
        <w:t>China</w:t>
      </w:r>
      <w:r w:rsidRPr="007604F2">
        <w:rPr>
          <w:rFonts w:ascii="Arial" w:hAnsi="Arial" w:cs="Arial"/>
          <w:b/>
          <w:bCs/>
          <w:noProof/>
          <w:sz w:val="24"/>
          <w:szCs w:val="24"/>
        </w:rPr>
        <w:t xml:space="preserve">, </w:t>
      </w:r>
      <w:r>
        <w:rPr>
          <w:rFonts w:ascii="Arial" w:hAnsi="Arial" w:cs="Arial"/>
          <w:b/>
          <w:bCs/>
          <w:noProof/>
          <w:sz w:val="24"/>
          <w:szCs w:val="24"/>
        </w:rPr>
        <w:t>15</w:t>
      </w:r>
      <w:r w:rsidRPr="00941D99">
        <w:rPr>
          <w:rFonts w:ascii="Arial" w:hAnsi="Arial" w:cs="Arial"/>
          <w:b/>
          <w:bCs/>
          <w:noProof/>
          <w:sz w:val="24"/>
          <w:szCs w:val="24"/>
        </w:rPr>
        <w:t xml:space="preserve"> - </w:t>
      </w:r>
      <w:r>
        <w:rPr>
          <w:rFonts w:ascii="Arial" w:hAnsi="Arial" w:cs="Arial"/>
          <w:b/>
          <w:bCs/>
          <w:noProof/>
          <w:sz w:val="24"/>
          <w:szCs w:val="24"/>
        </w:rPr>
        <w:t>19</w:t>
      </w:r>
      <w:r w:rsidRPr="00941D99">
        <w:rPr>
          <w:rFonts w:ascii="Arial" w:hAnsi="Arial" w:cs="Arial"/>
          <w:b/>
          <w:bCs/>
          <w:noProof/>
          <w:sz w:val="24"/>
          <w:szCs w:val="24"/>
        </w:rPr>
        <w:t xml:space="preserve"> </w:t>
      </w:r>
      <w:r>
        <w:rPr>
          <w:rFonts w:ascii="Arial" w:hAnsi="Arial" w:cs="Arial"/>
          <w:b/>
          <w:bCs/>
          <w:noProof/>
          <w:sz w:val="24"/>
          <w:szCs w:val="24"/>
        </w:rPr>
        <w:t>May</w:t>
      </w:r>
      <w:r w:rsidRPr="00941D99">
        <w:rPr>
          <w:rFonts w:ascii="Arial" w:hAnsi="Arial" w:cs="Arial"/>
          <w:b/>
          <w:bCs/>
          <w:noProof/>
          <w:sz w:val="24"/>
          <w:szCs w:val="24"/>
        </w:rPr>
        <w:t xml:space="preserve"> 2017</w:t>
      </w:r>
    </w:p>
    <w:p w14:paraId="26D53F7C" w14:textId="220E7A50" w:rsidR="007604F2" w:rsidRDefault="00DD7381" w:rsidP="00005DBD">
      <w:pPr>
        <w:pStyle w:val="TdocHeader2"/>
        <w:jc w:val="left"/>
        <w:rPr>
          <w:rFonts w:eastAsia="SimSun" w:cs="Arial"/>
          <w:bCs/>
          <w:noProof/>
          <w:sz w:val="24"/>
          <w:szCs w:val="24"/>
        </w:rPr>
      </w:pPr>
      <w:r w:rsidRPr="007604F2" w:rsidDel="00DD7381">
        <w:rPr>
          <w:rFonts w:cs="Arial"/>
          <w:bCs/>
          <w:noProof/>
          <w:sz w:val="24"/>
          <w:szCs w:val="24"/>
        </w:rPr>
        <w:t xml:space="preserve"> </w:t>
      </w:r>
    </w:p>
    <w:p w14:paraId="5DF1424D"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0B89750B" w14:textId="1EB97333" w:rsidR="00005DBD" w:rsidRPr="00654255" w:rsidRDefault="00005DBD" w:rsidP="00005DBD">
      <w:pPr>
        <w:pStyle w:val="TdocHeader2"/>
        <w:jc w:val="left"/>
        <w:rPr>
          <w:sz w:val="22"/>
          <w:szCs w:val="22"/>
          <w:lang w:val="en-US"/>
        </w:rPr>
      </w:pPr>
      <w:r w:rsidRPr="001E25A7">
        <w:rPr>
          <w:sz w:val="22"/>
          <w:szCs w:val="22"/>
          <w:lang w:val="en-US"/>
        </w:rPr>
        <w:t>Title:</w:t>
      </w:r>
      <w:bookmarkStart w:id="3" w:name="Title"/>
      <w:bookmarkEnd w:id="3"/>
      <w:r w:rsidRPr="001E25A7">
        <w:rPr>
          <w:sz w:val="22"/>
          <w:szCs w:val="22"/>
          <w:lang w:val="en-US"/>
        </w:rPr>
        <w:tab/>
      </w:r>
      <w:r w:rsidR="00AD448F">
        <w:rPr>
          <w:sz w:val="22"/>
          <w:szCs w:val="22"/>
          <w:lang w:val="en-US"/>
        </w:rPr>
        <w:t>On carrier aggregation on PC5</w:t>
      </w:r>
    </w:p>
    <w:p w14:paraId="335BDE25" w14:textId="207714C0" w:rsidR="00005DBD" w:rsidRPr="004604A6" w:rsidRDefault="00005DBD" w:rsidP="00005DBD">
      <w:pPr>
        <w:pStyle w:val="TdocHeader2"/>
        <w:jc w:val="left"/>
        <w:rPr>
          <w:sz w:val="22"/>
          <w:szCs w:val="22"/>
          <w:lang w:val="en-US"/>
        </w:rPr>
      </w:pPr>
      <w:r w:rsidRPr="004604A6">
        <w:rPr>
          <w:sz w:val="22"/>
          <w:szCs w:val="22"/>
          <w:lang w:val="en-US"/>
        </w:rPr>
        <w:t>Agenda Item:</w:t>
      </w:r>
      <w:r w:rsidRPr="004604A6">
        <w:rPr>
          <w:sz w:val="22"/>
          <w:szCs w:val="22"/>
          <w:lang w:val="en-US"/>
        </w:rPr>
        <w:tab/>
      </w:r>
      <w:r w:rsidR="00DD7381">
        <w:rPr>
          <w:sz w:val="22"/>
          <w:szCs w:val="22"/>
          <w:lang w:val="en-US"/>
        </w:rPr>
        <w:t>6</w:t>
      </w:r>
      <w:r w:rsidR="00382E13" w:rsidRPr="004604A6">
        <w:rPr>
          <w:sz w:val="22"/>
          <w:szCs w:val="22"/>
          <w:lang w:val="en-US"/>
        </w:rPr>
        <w:t>.2.3.1.1</w:t>
      </w:r>
    </w:p>
    <w:p w14:paraId="6665FF4A"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71FFAF84" w14:textId="77777777" w:rsidR="00D77223" w:rsidRDefault="00D77223" w:rsidP="008A63F4">
      <w:pPr>
        <w:pStyle w:val="Heading1"/>
      </w:pPr>
      <w:r w:rsidRPr="007F1723">
        <w:t>Introduction</w:t>
      </w:r>
    </w:p>
    <w:p w14:paraId="78FD61E5" w14:textId="77777777" w:rsidR="00941D99" w:rsidRPr="00941D99" w:rsidRDefault="00C70D8A" w:rsidP="00941D99">
      <w:pPr>
        <w:pStyle w:val="BodyText"/>
        <w:spacing w:after="240"/>
        <w:jc w:val="both"/>
        <w:rPr>
          <w:sz w:val="20"/>
          <w:szCs w:val="20"/>
        </w:rPr>
      </w:pPr>
      <w:r w:rsidRPr="00C70D8A">
        <w:rPr>
          <w:sz w:val="20"/>
          <w:szCs w:val="20"/>
        </w:rPr>
        <w:t xml:space="preserve">RAN </w:t>
      </w:r>
      <w:r w:rsidR="00941D99">
        <w:rPr>
          <w:sz w:val="20"/>
          <w:szCs w:val="20"/>
        </w:rPr>
        <w:t xml:space="preserve">plenary </w:t>
      </w:r>
      <w:r w:rsidRPr="00C70D8A">
        <w:rPr>
          <w:sz w:val="20"/>
          <w:szCs w:val="20"/>
        </w:rPr>
        <w:t>#</w:t>
      </w:r>
      <w:r w:rsidR="00941D99">
        <w:rPr>
          <w:sz w:val="20"/>
          <w:szCs w:val="20"/>
        </w:rPr>
        <w:t>75</w:t>
      </w:r>
      <w:r w:rsidRPr="00C70D8A">
        <w:rPr>
          <w:sz w:val="20"/>
          <w:szCs w:val="20"/>
        </w:rPr>
        <w:t xml:space="preserve"> </w:t>
      </w:r>
      <w:r w:rsidR="00941D99">
        <w:rPr>
          <w:sz w:val="20"/>
          <w:szCs w:val="20"/>
        </w:rPr>
        <w:t xml:space="preserve">approved a work item for </w:t>
      </w:r>
      <w:r w:rsidR="00941D99" w:rsidRPr="00941D99">
        <w:rPr>
          <w:rFonts w:hint="eastAsia"/>
          <w:sz w:val="20"/>
          <w:szCs w:val="20"/>
        </w:rPr>
        <w:t>3GPP</w:t>
      </w:r>
      <w:r w:rsidR="00941D99" w:rsidRPr="00941D99">
        <w:rPr>
          <w:sz w:val="20"/>
          <w:szCs w:val="20"/>
        </w:rPr>
        <w:t xml:space="preserve"> V2X Phase 2 to support advanced V2X services</w:t>
      </w:r>
      <w:r w:rsidR="00941D99" w:rsidRPr="00941D99">
        <w:rPr>
          <w:rFonts w:hint="eastAsia"/>
          <w:sz w:val="20"/>
          <w:szCs w:val="20"/>
        </w:rPr>
        <w:t xml:space="preserve"> as identified in SA1 TR 22.886.</w:t>
      </w:r>
      <w:r w:rsidR="00941D99">
        <w:rPr>
          <w:sz w:val="20"/>
          <w:szCs w:val="20"/>
        </w:rPr>
        <w:t xml:space="preserve"> The following topics are part of the </w:t>
      </w:r>
      <w:r w:rsidR="00941D99" w:rsidRPr="00941D99">
        <w:rPr>
          <w:sz w:val="20"/>
          <w:szCs w:val="20"/>
        </w:rPr>
        <w:t xml:space="preserve">detailed objectives </w:t>
      </w:r>
      <w:r w:rsidR="00941D99" w:rsidRPr="00941D99">
        <w:rPr>
          <w:rFonts w:hint="eastAsia"/>
          <w:sz w:val="20"/>
          <w:szCs w:val="20"/>
        </w:rPr>
        <w:t>of this work item</w:t>
      </w:r>
      <w:r w:rsidR="00941D99" w:rsidRPr="00941D99">
        <w:rPr>
          <w:sz w:val="20"/>
          <w:szCs w:val="20"/>
        </w:rPr>
        <w:t>:</w:t>
      </w:r>
    </w:p>
    <w:p w14:paraId="2BA193A4" w14:textId="77777777" w:rsidR="00941D99" w:rsidRPr="00941D99" w:rsidRDefault="00941D99" w:rsidP="00941D99">
      <w:pPr>
        <w:numPr>
          <w:ilvl w:val="0"/>
          <w:numId w:val="30"/>
        </w:numPr>
        <w:overflowPunct w:val="0"/>
        <w:autoSpaceDE w:val="0"/>
        <w:autoSpaceDN w:val="0"/>
        <w:jc w:val="both"/>
        <w:rPr>
          <w:i/>
          <w:lang w:eastAsia="zh-CN"/>
        </w:rPr>
      </w:pPr>
      <w:r w:rsidRPr="00941D99">
        <w:rPr>
          <w:rFonts w:hint="eastAsia"/>
          <w:i/>
          <w:lang w:eastAsia="zh-CN"/>
        </w:rPr>
        <w:t xml:space="preserve">Specify </w:t>
      </w:r>
      <w:r w:rsidRPr="00941D99">
        <w:rPr>
          <w:i/>
          <w:lang w:eastAsia="zh-CN"/>
        </w:rPr>
        <w:t>solutions</w:t>
      </w:r>
      <w:r w:rsidRPr="00941D99">
        <w:rPr>
          <w:rFonts w:hint="eastAsia"/>
          <w:i/>
          <w:lang w:eastAsia="zh-CN"/>
        </w:rPr>
        <w:t xml:space="preserve"> for the </w:t>
      </w:r>
      <w:r w:rsidRPr="00941D99">
        <w:rPr>
          <w:i/>
          <w:lang w:eastAsia="zh-CN"/>
        </w:rPr>
        <w:t>fo</w:t>
      </w:r>
      <w:r w:rsidRPr="00941D99">
        <w:rPr>
          <w:rFonts w:hint="eastAsia"/>
          <w:i/>
          <w:lang w:eastAsia="zh-CN"/>
        </w:rPr>
        <w:t xml:space="preserve">llowing </w:t>
      </w:r>
      <w:r w:rsidRPr="00941D99">
        <w:rPr>
          <w:i/>
          <w:lang w:eastAsia="zh-CN"/>
        </w:rPr>
        <w:t>PC5 functionalit</w:t>
      </w:r>
      <w:r w:rsidRPr="00941D99">
        <w:rPr>
          <w:rFonts w:hint="eastAsia"/>
          <w:i/>
          <w:lang w:eastAsia="zh-CN"/>
        </w:rPr>
        <w:t>ies,</w:t>
      </w:r>
      <w:r w:rsidRPr="00941D99">
        <w:rPr>
          <w:i/>
          <w:lang w:eastAsia="zh-CN"/>
        </w:rPr>
        <w:t xml:space="preserve"> which can co-exist in the same resource pools as Rel-14 functionality and use the same scheduling assignment format</w:t>
      </w:r>
      <w:r w:rsidRPr="00941D99">
        <w:rPr>
          <w:rFonts w:hint="eastAsia"/>
          <w:i/>
          <w:lang w:eastAsia="zh-CN"/>
        </w:rPr>
        <w:t xml:space="preserve"> (</w:t>
      </w:r>
      <w:r w:rsidRPr="00941D99">
        <w:rPr>
          <w:i/>
        </w:rPr>
        <w:t>which can be decoded by Rel-14 UEs</w:t>
      </w:r>
      <w:r w:rsidRPr="00941D99">
        <w:rPr>
          <w:rFonts w:hint="eastAsia"/>
          <w:i/>
          <w:lang w:eastAsia="zh-CN"/>
        </w:rPr>
        <w:t>)</w:t>
      </w:r>
      <w:r w:rsidRPr="00941D99">
        <w:rPr>
          <w:i/>
          <w:lang w:eastAsia="zh-CN"/>
        </w:rPr>
        <w:t>, without causing significant degradation to Rel-14 PC5 operation</w:t>
      </w:r>
      <w:r w:rsidRPr="00941D99">
        <w:rPr>
          <w:rFonts w:hint="eastAsia"/>
          <w:i/>
          <w:lang w:eastAsia="zh-CN"/>
        </w:rPr>
        <w:t xml:space="preserve"> compared to that of Rel-14 UEs: [</w:t>
      </w:r>
      <w:r w:rsidRPr="00941D99">
        <w:rPr>
          <w:i/>
          <w:lang w:eastAsia="zh-CN"/>
        </w:rPr>
        <w:t>RAN</w:t>
      </w:r>
      <w:r w:rsidRPr="00941D99">
        <w:rPr>
          <w:rFonts w:hint="eastAsia"/>
          <w:i/>
          <w:lang w:eastAsia="zh-CN"/>
        </w:rPr>
        <w:t>1</w:t>
      </w:r>
      <w:r w:rsidRPr="00941D99">
        <w:rPr>
          <w:i/>
          <w:lang w:eastAsia="zh-CN"/>
        </w:rPr>
        <w:t>, RAN</w:t>
      </w:r>
      <w:r w:rsidRPr="00941D99">
        <w:rPr>
          <w:rFonts w:hint="eastAsia"/>
          <w:i/>
          <w:lang w:eastAsia="zh-CN"/>
        </w:rPr>
        <w:t>2</w:t>
      </w:r>
      <w:r w:rsidRPr="00941D99">
        <w:rPr>
          <w:i/>
          <w:lang w:eastAsia="zh-CN"/>
        </w:rPr>
        <w:t xml:space="preserve">, </w:t>
      </w:r>
      <w:r w:rsidRPr="00941D99">
        <w:rPr>
          <w:rFonts w:hint="eastAsia"/>
          <w:i/>
          <w:lang w:eastAsia="zh-CN"/>
        </w:rPr>
        <w:t>RAN4]</w:t>
      </w:r>
    </w:p>
    <w:p w14:paraId="70A9C162" w14:textId="77777777" w:rsidR="00941D99" w:rsidRPr="00941D99" w:rsidRDefault="00941D99" w:rsidP="00941D99">
      <w:pPr>
        <w:numPr>
          <w:ilvl w:val="1"/>
          <w:numId w:val="30"/>
        </w:numPr>
        <w:overflowPunct w:val="0"/>
        <w:autoSpaceDE w:val="0"/>
        <w:autoSpaceDN w:val="0"/>
        <w:jc w:val="both"/>
        <w:rPr>
          <w:i/>
          <w:lang w:eastAsia="zh-CN"/>
        </w:rPr>
      </w:pPr>
      <w:r w:rsidRPr="00941D99">
        <w:rPr>
          <w:rFonts w:hint="eastAsia"/>
          <w:i/>
          <w:lang w:eastAsia="zh-CN"/>
        </w:rPr>
        <w:t xml:space="preserve">Carrier </w:t>
      </w:r>
      <w:r w:rsidRPr="00941D99">
        <w:rPr>
          <w:i/>
          <w:lang w:eastAsia="zh-CN"/>
        </w:rPr>
        <w:t>aggregation</w:t>
      </w:r>
      <w:r w:rsidRPr="00941D99">
        <w:rPr>
          <w:rFonts w:hint="eastAsia"/>
          <w:i/>
          <w:lang w:eastAsia="zh-CN"/>
        </w:rPr>
        <w:t xml:space="preserve"> (up to 8 PC5 carriers);</w:t>
      </w:r>
    </w:p>
    <w:p w14:paraId="3B6CBF64" w14:textId="77777777" w:rsidR="00941D99" w:rsidRPr="00941D99" w:rsidRDefault="00941D99" w:rsidP="00941D99">
      <w:pPr>
        <w:numPr>
          <w:ilvl w:val="1"/>
          <w:numId w:val="30"/>
        </w:numPr>
        <w:overflowPunct w:val="0"/>
        <w:autoSpaceDE w:val="0"/>
        <w:autoSpaceDN w:val="0"/>
        <w:jc w:val="both"/>
        <w:rPr>
          <w:i/>
          <w:lang w:eastAsia="zh-CN"/>
        </w:rPr>
      </w:pPr>
      <w:r w:rsidRPr="00941D99">
        <w:rPr>
          <w:rFonts w:hint="eastAsia"/>
          <w:i/>
          <w:lang w:eastAsia="zh-CN"/>
        </w:rPr>
        <w:t>64QAM;</w:t>
      </w:r>
    </w:p>
    <w:p w14:paraId="55F743A8" w14:textId="77777777" w:rsidR="00941D99" w:rsidRPr="00941D99" w:rsidRDefault="00941D99" w:rsidP="00941D99">
      <w:pPr>
        <w:numPr>
          <w:ilvl w:val="1"/>
          <w:numId w:val="30"/>
        </w:numPr>
        <w:overflowPunct w:val="0"/>
        <w:autoSpaceDE w:val="0"/>
        <w:autoSpaceDN w:val="0"/>
        <w:jc w:val="both"/>
        <w:rPr>
          <w:i/>
          <w:lang w:eastAsia="zh-CN"/>
        </w:rPr>
      </w:pPr>
      <w:r w:rsidRPr="00941D99">
        <w:rPr>
          <w:rFonts w:hint="eastAsia"/>
          <w:i/>
          <w:lang w:eastAsia="zh-CN"/>
        </w:rPr>
        <w:t>R</w:t>
      </w:r>
      <w:r w:rsidRPr="00941D99">
        <w:rPr>
          <w:i/>
          <w:lang w:eastAsia="zh-CN"/>
        </w:rPr>
        <w:t xml:space="preserve">educe </w:t>
      </w:r>
      <w:r w:rsidRPr="00941D99">
        <w:rPr>
          <w:rFonts w:hint="eastAsia"/>
          <w:i/>
          <w:lang w:eastAsia="zh-CN"/>
        </w:rPr>
        <w:t xml:space="preserve">the </w:t>
      </w:r>
      <w:r w:rsidRPr="00941D99">
        <w:rPr>
          <w:i/>
          <w:lang w:eastAsia="zh-CN"/>
        </w:rPr>
        <w:t>maximum time between packet arrival at Layer 1 and resource selected for transmission</w:t>
      </w:r>
      <w:r w:rsidRPr="00941D99">
        <w:rPr>
          <w:rFonts w:hint="eastAsia"/>
          <w:i/>
          <w:lang w:eastAsia="zh-CN"/>
        </w:rPr>
        <w:t>;</w:t>
      </w:r>
    </w:p>
    <w:p w14:paraId="09EB6631" w14:textId="77777777" w:rsidR="00E825C0" w:rsidRPr="00941D99" w:rsidRDefault="00941D99" w:rsidP="00941D99">
      <w:pPr>
        <w:numPr>
          <w:ilvl w:val="1"/>
          <w:numId w:val="30"/>
        </w:numPr>
        <w:overflowPunct w:val="0"/>
        <w:autoSpaceDE w:val="0"/>
        <w:autoSpaceDN w:val="0"/>
        <w:spacing w:after="0"/>
        <w:jc w:val="both"/>
        <w:rPr>
          <w:rFonts w:eastAsia="MS Mincho"/>
          <w:i/>
          <w:lang w:eastAsia="ja-JP"/>
        </w:rPr>
      </w:pPr>
      <w:r w:rsidRPr="00941D99">
        <w:rPr>
          <w:i/>
          <w:lang w:eastAsia="zh-CN"/>
        </w:rPr>
        <w:t>R</w:t>
      </w:r>
      <w:r w:rsidRPr="00941D99">
        <w:rPr>
          <w:rFonts w:hint="eastAsia"/>
          <w:i/>
          <w:lang w:eastAsia="zh-CN"/>
        </w:rPr>
        <w:t xml:space="preserve">adio resource pool sharing </w:t>
      </w:r>
      <w:r w:rsidRPr="00941D99">
        <w:rPr>
          <w:i/>
          <w:lang w:eastAsia="zh-CN"/>
        </w:rPr>
        <w:t>between UEs using mode 3 and UEs using mode 4</w:t>
      </w:r>
      <w:r w:rsidRPr="00941D99">
        <w:rPr>
          <w:rFonts w:hint="eastAsia"/>
          <w:i/>
          <w:lang w:eastAsia="zh-CN"/>
        </w:rPr>
        <w:t>;</w:t>
      </w:r>
    </w:p>
    <w:p w14:paraId="26BC1755" w14:textId="1D5A6719" w:rsidR="00DF3FAA" w:rsidRPr="00DB08D2" w:rsidRDefault="00B115CA" w:rsidP="00DF3FAA">
      <w:pPr>
        <w:pStyle w:val="BodyText"/>
        <w:spacing w:before="240" w:after="240"/>
        <w:jc w:val="both"/>
        <w:rPr>
          <w:sz w:val="20"/>
          <w:szCs w:val="20"/>
        </w:rPr>
      </w:pPr>
      <w:r w:rsidRPr="00DB08D2">
        <w:rPr>
          <w:sz w:val="20"/>
          <w:szCs w:val="20"/>
        </w:rPr>
        <w:t xml:space="preserve">In this </w:t>
      </w:r>
      <w:r w:rsidR="00C70D8A" w:rsidRPr="00DB08D2">
        <w:rPr>
          <w:sz w:val="20"/>
          <w:szCs w:val="20"/>
        </w:rPr>
        <w:t xml:space="preserve">contribution </w:t>
      </w:r>
      <w:r w:rsidRPr="00DB08D2">
        <w:rPr>
          <w:sz w:val="20"/>
          <w:szCs w:val="20"/>
        </w:rPr>
        <w:t xml:space="preserve">we discuss </w:t>
      </w:r>
      <w:r w:rsidR="00941D99" w:rsidRPr="00DB08D2">
        <w:rPr>
          <w:sz w:val="20"/>
          <w:szCs w:val="20"/>
        </w:rPr>
        <w:t xml:space="preserve">item </w:t>
      </w:r>
      <w:r w:rsidR="00AD448F" w:rsidRPr="00DB08D2">
        <w:rPr>
          <w:sz w:val="20"/>
          <w:szCs w:val="20"/>
        </w:rPr>
        <w:t>a</w:t>
      </w:r>
      <w:r w:rsidR="00941D99" w:rsidRPr="00DB08D2">
        <w:rPr>
          <w:sz w:val="20"/>
          <w:szCs w:val="20"/>
        </w:rPr>
        <w:t>)</w:t>
      </w:r>
      <w:r w:rsidRPr="00DB08D2">
        <w:rPr>
          <w:sz w:val="20"/>
          <w:szCs w:val="20"/>
        </w:rPr>
        <w:t>.</w:t>
      </w:r>
      <w:r w:rsidR="00941D99" w:rsidRPr="00DB08D2">
        <w:rPr>
          <w:sz w:val="20"/>
          <w:szCs w:val="20"/>
        </w:rPr>
        <w:t xml:space="preserve"> In companion papers</w:t>
      </w:r>
      <w:r w:rsidR="00920C55" w:rsidRPr="00DB08D2">
        <w:rPr>
          <w:sz w:val="20"/>
          <w:szCs w:val="20"/>
        </w:rPr>
        <w:t xml:space="preserve"> </w:t>
      </w:r>
      <w:r w:rsidR="001F7362">
        <w:rPr>
          <w:sz w:val="20"/>
          <w:szCs w:val="20"/>
        </w:rPr>
        <w:fldChar w:fldCharType="begin"/>
      </w:r>
      <w:r w:rsidR="001F7362">
        <w:rPr>
          <w:sz w:val="20"/>
          <w:szCs w:val="20"/>
        </w:rPr>
        <w:instrText xml:space="preserve"> REF _Ref481849018 \r \h </w:instrText>
      </w:r>
      <w:r w:rsidR="001F7362">
        <w:rPr>
          <w:sz w:val="20"/>
          <w:szCs w:val="20"/>
        </w:rPr>
      </w:r>
      <w:r w:rsidR="001F7362">
        <w:rPr>
          <w:sz w:val="20"/>
          <w:szCs w:val="20"/>
        </w:rPr>
        <w:fldChar w:fldCharType="separate"/>
      </w:r>
      <w:r w:rsidR="001F7362">
        <w:rPr>
          <w:sz w:val="20"/>
          <w:szCs w:val="20"/>
        </w:rPr>
        <w:t>[1]</w:t>
      </w:r>
      <w:r w:rsidR="001F7362">
        <w:rPr>
          <w:sz w:val="20"/>
          <w:szCs w:val="20"/>
        </w:rPr>
        <w:fldChar w:fldCharType="end"/>
      </w:r>
      <w:r w:rsidR="001F7362">
        <w:rPr>
          <w:sz w:val="20"/>
          <w:szCs w:val="20"/>
        </w:rPr>
        <w:t xml:space="preserve">, </w:t>
      </w:r>
      <w:r w:rsidR="001F7362">
        <w:rPr>
          <w:sz w:val="20"/>
          <w:szCs w:val="20"/>
        </w:rPr>
        <w:fldChar w:fldCharType="begin"/>
      </w:r>
      <w:r w:rsidR="001F7362">
        <w:rPr>
          <w:sz w:val="20"/>
          <w:szCs w:val="20"/>
        </w:rPr>
        <w:instrText xml:space="preserve"> REF _Ref481849019 \r \h </w:instrText>
      </w:r>
      <w:r w:rsidR="001F7362">
        <w:rPr>
          <w:sz w:val="20"/>
          <w:szCs w:val="20"/>
        </w:rPr>
      </w:r>
      <w:r w:rsidR="001F7362">
        <w:rPr>
          <w:sz w:val="20"/>
          <w:szCs w:val="20"/>
        </w:rPr>
        <w:fldChar w:fldCharType="separate"/>
      </w:r>
      <w:r w:rsidR="001F7362">
        <w:rPr>
          <w:sz w:val="20"/>
          <w:szCs w:val="20"/>
        </w:rPr>
        <w:t>[2]</w:t>
      </w:r>
      <w:r w:rsidR="001F7362">
        <w:rPr>
          <w:sz w:val="20"/>
          <w:szCs w:val="20"/>
        </w:rPr>
        <w:fldChar w:fldCharType="end"/>
      </w:r>
      <w:r w:rsidR="001F7362">
        <w:rPr>
          <w:sz w:val="20"/>
          <w:szCs w:val="20"/>
        </w:rPr>
        <w:t xml:space="preserve">, and </w:t>
      </w:r>
      <w:r w:rsidR="001F7362">
        <w:rPr>
          <w:sz w:val="20"/>
          <w:szCs w:val="20"/>
        </w:rPr>
        <w:fldChar w:fldCharType="begin"/>
      </w:r>
      <w:r w:rsidR="001F7362">
        <w:rPr>
          <w:sz w:val="20"/>
          <w:szCs w:val="20"/>
        </w:rPr>
        <w:instrText xml:space="preserve"> REF _Ref481849021 \r \h </w:instrText>
      </w:r>
      <w:r w:rsidR="001F7362">
        <w:rPr>
          <w:sz w:val="20"/>
          <w:szCs w:val="20"/>
        </w:rPr>
      </w:r>
      <w:r w:rsidR="001F7362">
        <w:rPr>
          <w:sz w:val="20"/>
          <w:szCs w:val="20"/>
        </w:rPr>
        <w:fldChar w:fldCharType="separate"/>
      </w:r>
      <w:r w:rsidR="001F7362">
        <w:rPr>
          <w:sz w:val="20"/>
          <w:szCs w:val="20"/>
        </w:rPr>
        <w:t>[3]</w:t>
      </w:r>
      <w:r w:rsidR="001F7362">
        <w:rPr>
          <w:sz w:val="20"/>
          <w:szCs w:val="20"/>
        </w:rPr>
        <w:fldChar w:fldCharType="end"/>
      </w:r>
      <w:r w:rsidR="00941D99" w:rsidRPr="00DB08D2">
        <w:rPr>
          <w:sz w:val="20"/>
          <w:szCs w:val="20"/>
        </w:rPr>
        <w:t xml:space="preserve">we discuss b), c), </w:t>
      </w:r>
      <w:r w:rsidR="009005A9" w:rsidRPr="00DB08D2">
        <w:rPr>
          <w:sz w:val="20"/>
          <w:szCs w:val="20"/>
        </w:rPr>
        <w:t xml:space="preserve">and d) </w:t>
      </w:r>
      <w:r w:rsidR="00941D99" w:rsidRPr="00DB08D2">
        <w:rPr>
          <w:sz w:val="20"/>
          <w:szCs w:val="20"/>
        </w:rPr>
        <w:t>respectively.</w:t>
      </w:r>
    </w:p>
    <w:p w14:paraId="18D7CDD4" w14:textId="77777777" w:rsidR="007C19E4" w:rsidRDefault="00834083" w:rsidP="00834083">
      <w:pPr>
        <w:pStyle w:val="Heading1"/>
      </w:pPr>
      <w:r>
        <w:t xml:space="preserve">eV2X Tx Multicarrier Scenarios </w:t>
      </w:r>
    </w:p>
    <w:p w14:paraId="2A000F77" w14:textId="05513959" w:rsidR="00834083" w:rsidRDefault="00834083" w:rsidP="00834083">
      <w:pPr>
        <w:pStyle w:val="BodyText"/>
        <w:spacing w:after="240"/>
        <w:jc w:val="both"/>
        <w:rPr>
          <w:sz w:val="20"/>
          <w:szCs w:val="20"/>
        </w:rPr>
      </w:pPr>
      <w:r>
        <w:rPr>
          <w:sz w:val="20"/>
          <w:szCs w:val="20"/>
        </w:rPr>
        <w:t>Multicarrier tx capabilities in the UE should provide improved KPIs both from link and system perspectives. We list here a few scenarios enabled by multicarrier capabilities and that we suggest support</w:t>
      </w:r>
      <w:r w:rsidR="00AD448F">
        <w:rPr>
          <w:sz w:val="20"/>
          <w:szCs w:val="20"/>
        </w:rPr>
        <w:t>ing</w:t>
      </w:r>
      <w:r>
        <w:rPr>
          <w:sz w:val="20"/>
          <w:szCs w:val="20"/>
        </w:rPr>
        <w:t xml:space="preserve"> in the WID:</w:t>
      </w:r>
    </w:p>
    <w:p w14:paraId="5F5E0CB7" w14:textId="77777777" w:rsidR="00834083" w:rsidRDefault="00834083" w:rsidP="00834083">
      <w:pPr>
        <w:pStyle w:val="BodyText"/>
        <w:numPr>
          <w:ilvl w:val="0"/>
          <w:numId w:val="34"/>
        </w:numPr>
        <w:spacing w:after="240"/>
        <w:jc w:val="both"/>
        <w:rPr>
          <w:sz w:val="20"/>
          <w:szCs w:val="20"/>
        </w:rPr>
      </w:pPr>
      <w:r w:rsidRPr="00834083">
        <w:rPr>
          <w:b/>
          <w:sz w:val="20"/>
          <w:szCs w:val="20"/>
        </w:rPr>
        <w:t>CA</w:t>
      </w:r>
      <w:r>
        <w:rPr>
          <w:sz w:val="20"/>
          <w:szCs w:val="20"/>
        </w:rPr>
        <w:t xml:space="preserve">: Improved peak-rate and system capacity: in this case a UE exploits multi-carrier tx capabilities to exploit free resources over multiple carriers for a given data transmission. The gain in </w:t>
      </w:r>
      <w:r w:rsidR="00AD448F">
        <w:rPr>
          <w:sz w:val="20"/>
          <w:szCs w:val="20"/>
        </w:rPr>
        <w:t xml:space="preserve">terms of </w:t>
      </w:r>
      <w:r>
        <w:rPr>
          <w:sz w:val="20"/>
          <w:szCs w:val="20"/>
        </w:rPr>
        <w:t>single UE rate translates also in a system level gain.</w:t>
      </w:r>
    </w:p>
    <w:p w14:paraId="361AA312" w14:textId="77777777" w:rsidR="00834083" w:rsidRDefault="00834083" w:rsidP="00834083">
      <w:pPr>
        <w:pStyle w:val="BodyText"/>
        <w:numPr>
          <w:ilvl w:val="0"/>
          <w:numId w:val="34"/>
        </w:numPr>
        <w:spacing w:after="240"/>
        <w:jc w:val="both"/>
        <w:rPr>
          <w:sz w:val="20"/>
          <w:szCs w:val="20"/>
        </w:rPr>
      </w:pPr>
      <w:r w:rsidRPr="00834083">
        <w:rPr>
          <w:b/>
          <w:sz w:val="20"/>
          <w:szCs w:val="20"/>
        </w:rPr>
        <w:t>MC_Div</w:t>
      </w:r>
      <w:r>
        <w:rPr>
          <w:sz w:val="20"/>
          <w:szCs w:val="20"/>
        </w:rPr>
        <w:t>: Improved reliability: in this case diversity for a certain data transmission is achieved by using multiple carriers to transport the same data and SCI, thus leveraging on macro-diversity across carriers</w:t>
      </w:r>
      <w:r w:rsidR="00AD448F">
        <w:rPr>
          <w:sz w:val="20"/>
          <w:szCs w:val="20"/>
        </w:rPr>
        <w:t xml:space="preserve"> and redundancy in the transmitted data</w:t>
      </w:r>
      <w:r>
        <w:rPr>
          <w:sz w:val="20"/>
          <w:szCs w:val="20"/>
        </w:rPr>
        <w:t xml:space="preserve">. We note that </w:t>
      </w:r>
      <w:r w:rsidRPr="00834083">
        <w:rPr>
          <w:sz w:val="20"/>
          <w:szCs w:val="20"/>
        </w:rPr>
        <w:t>soft combination is possible across carriers so that the effective link budget for a certain transmission is improved</w:t>
      </w:r>
      <w:r>
        <w:rPr>
          <w:sz w:val="20"/>
          <w:szCs w:val="20"/>
        </w:rPr>
        <w:t>, so a further benefit is extended range for certain transmission</w:t>
      </w:r>
      <w:r w:rsidRPr="00834083">
        <w:rPr>
          <w:sz w:val="20"/>
          <w:szCs w:val="20"/>
        </w:rPr>
        <w:t>.</w:t>
      </w:r>
    </w:p>
    <w:p w14:paraId="36EEB42B" w14:textId="77777777" w:rsidR="00DD0F3A" w:rsidRPr="00DD0F3A" w:rsidRDefault="00DD0F3A" w:rsidP="00DD0F3A">
      <w:pPr>
        <w:pStyle w:val="BodyText"/>
        <w:spacing w:after="240"/>
        <w:jc w:val="both"/>
        <w:rPr>
          <w:b/>
          <w:i/>
          <w:sz w:val="20"/>
          <w:szCs w:val="20"/>
        </w:rPr>
      </w:pPr>
      <w:r w:rsidRPr="00DD0F3A">
        <w:rPr>
          <w:b/>
          <w:i/>
          <w:sz w:val="20"/>
          <w:szCs w:val="20"/>
        </w:rPr>
        <w:t>Proposals:</w:t>
      </w:r>
    </w:p>
    <w:p w14:paraId="7E82AC29" w14:textId="77777777" w:rsidR="00DD0F3A" w:rsidRPr="00DD0F3A" w:rsidRDefault="00DD0F3A" w:rsidP="00DD0F3A">
      <w:pPr>
        <w:pStyle w:val="BodyText"/>
        <w:numPr>
          <w:ilvl w:val="0"/>
          <w:numId w:val="37"/>
        </w:numPr>
        <w:spacing w:after="240"/>
        <w:jc w:val="both"/>
        <w:rPr>
          <w:b/>
          <w:i/>
          <w:sz w:val="20"/>
          <w:szCs w:val="20"/>
        </w:rPr>
      </w:pPr>
      <w:r w:rsidRPr="00DD0F3A">
        <w:rPr>
          <w:b/>
          <w:i/>
          <w:sz w:val="20"/>
          <w:szCs w:val="20"/>
        </w:rPr>
        <w:t>Support the following tx multicarrier scenarios:</w:t>
      </w:r>
    </w:p>
    <w:p w14:paraId="7613993A" w14:textId="77777777" w:rsidR="00DD0F3A" w:rsidRPr="00DD0F3A" w:rsidRDefault="00DD0F3A" w:rsidP="00DD0F3A">
      <w:pPr>
        <w:pStyle w:val="BodyText"/>
        <w:numPr>
          <w:ilvl w:val="0"/>
          <w:numId w:val="36"/>
        </w:numPr>
        <w:spacing w:after="240"/>
        <w:jc w:val="both"/>
        <w:rPr>
          <w:b/>
          <w:i/>
          <w:sz w:val="20"/>
          <w:szCs w:val="20"/>
        </w:rPr>
      </w:pPr>
      <w:r w:rsidRPr="00DD0F3A">
        <w:rPr>
          <w:b/>
          <w:i/>
          <w:sz w:val="20"/>
          <w:szCs w:val="20"/>
        </w:rPr>
        <w:t>CA for improved data-rate by splitting a given higher-layer data payload over multiple carriers.</w:t>
      </w:r>
    </w:p>
    <w:p w14:paraId="68EA3B7B" w14:textId="498C4E10" w:rsidR="00DD0F3A" w:rsidRPr="00DD0F3A" w:rsidRDefault="00DD0F3A" w:rsidP="00DD0F3A">
      <w:pPr>
        <w:pStyle w:val="BodyText"/>
        <w:numPr>
          <w:ilvl w:val="0"/>
          <w:numId w:val="36"/>
        </w:numPr>
        <w:spacing w:after="240"/>
        <w:jc w:val="both"/>
        <w:rPr>
          <w:b/>
          <w:i/>
          <w:sz w:val="20"/>
          <w:szCs w:val="20"/>
        </w:rPr>
      </w:pPr>
      <w:r w:rsidRPr="00DD0F3A">
        <w:rPr>
          <w:b/>
          <w:i/>
          <w:sz w:val="20"/>
          <w:szCs w:val="20"/>
        </w:rPr>
        <w:t>MC_Div for improved range and reliability</w:t>
      </w:r>
      <w:r w:rsidR="00367A99">
        <w:rPr>
          <w:b/>
          <w:i/>
          <w:sz w:val="20"/>
          <w:szCs w:val="20"/>
        </w:rPr>
        <w:t xml:space="preserve"> with the possibility to</w:t>
      </w:r>
      <w:r w:rsidRPr="00DD0F3A">
        <w:rPr>
          <w:b/>
          <w:i/>
          <w:sz w:val="20"/>
          <w:szCs w:val="20"/>
        </w:rPr>
        <w:t xml:space="preserve"> soft-re-transmit a given TB over multiple carriers.</w:t>
      </w:r>
    </w:p>
    <w:p w14:paraId="7CF8CFCC" w14:textId="77777777" w:rsidR="00DD0F3A" w:rsidRPr="00834083" w:rsidRDefault="00DD0F3A" w:rsidP="00DD0F3A">
      <w:pPr>
        <w:pStyle w:val="BodyText"/>
        <w:spacing w:after="240"/>
        <w:jc w:val="both"/>
        <w:rPr>
          <w:sz w:val="20"/>
          <w:szCs w:val="20"/>
        </w:rPr>
      </w:pPr>
    </w:p>
    <w:p w14:paraId="7048B773" w14:textId="77777777" w:rsidR="00834083" w:rsidRDefault="00834083" w:rsidP="00834083">
      <w:pPr>
        <w:pStyle w:val="BodyText"/>
        <w:spacing w:after="240"/>
        <w:jc w:val="both"/>
        <w:rPr>
          <w:sz w:val="20"/>
          <w:szCs w:val="20"/>
        </w:rPr>
      </w:pPr>
      <w:r>
        <w:rPr>
          <w:sz w:val="20"/>
          <w:szCs w:val="20"/>
        </w:rPr>
        <w:t xml:space="preserve">Multicarrier transmission capability enables the above scenarios. We distinguish two types of capabilities at </w:t>
      </w:r>
      <w:r w:rsidR="00AD448F">
        <w:rPr>
          <w:sz w:val="20"/>
          <w:szCs w:val="20"/>
        </w:rPr>
        <w:t xml:space="preserve">the </w:t>
      </w:r>
      <w:r>
        <w:rPr>
          <w:sz w:val="20"/>
          <w:szCs w:val="20"/>
        </w:rPr>
        <w:t>transmitter side:</w:t>
      </w:r>
    </w:p>
    <w:p w14:paraId="30B297D0" w14:textId="1811BB5D" w:rsidR="00834083" w:rsidRDefault="00834083" w:rsidP="00834083">
      <w:pPr>
        <w:pStyle w:val="BodyText"/>
        <w:numPr>
          <w:ilvl w:val="0"/>
          <w:numId w:val="35"/>
        </w:numPr>
        <w:spacing w:after="240"/>
        <w:jc w:val="both"/>
        <w:rPr>
          <w:sz w:val="20"/>
          <w:szCs w:val="20"/>
        </w:rPr>
      </w:pPr>
      <w:r>
        <w:rPr>
          <w:sz w:val="20"/>
          <w:szCs w:val="20"/>
        </w:rPr>
        <w:t xml:space="preserve">Dynamic </w:t>
      </w:r>
      <w:r w:rsidR="00AD448F">
        <w:rPr>
          <w:sz w:val="20"/>
          <w:szCs w:val="20"/>
        </w:rPr>
        <w:t>c</w:t>
      </w:r>
      <w:r>
        <w:rPr>
          <w:sz w:val="20"/>
          <w:szCs w:val="20"/>
        </w:rPr>
        <w:t>arrier selection: the UE dynamically switches across tx carriers, a single returnable tx chain is sufficient.</w:t>
      </w:r>
    </w:p>
    <w:p w14:paraId="4E76C2BB" w14:textId="77777777" w:rsidR="00834083" w:rsidRDefault="00834083" w:rsidP="00834083">
      <w:pPr>
        <w:pStyle w:val="BodyText"/>
        <w:numPr>
          <w:ilvl w:val="0"/>
          <w:numId w:val="35"/>
        </w:numPr>
        <w:spacing w:after="240"/>
        <w:jc w:val="both"/>
        <w:rPr>
          <w:sz w:val="20"/>
          <w:szCs w:val="20"/>
        </w:rPr>
      </w:pPr>
      <w:r>
        <w:rPr>
          <w:sz w:val="20"/>
          <w:szCs w:val="20"/>
        </w:rPr>
        <w:t>Carrier aggregation: the UE can simultaneously transmit over multiple carriers.</w:t>
      </w:r>
    </w:p>
    <w:p w14:paraId="3D19544E" w14:textId="77777777" w:rsidR="00834083" w:rsidRDefault="00834083" w:rsidP="00834083">
      <w:pPr>
        <w:pStyle w:val="BodyText"/>
        <w:spacing w:after="240"/>
        <w:jc w:val="both"/>
        <w:rPr>
          <w:sz w:val="20"/>
          <w:szCs w:val="20"/>
        </w:rPr>
      </w:pPr>
      <w:r>
        <w:rPr>
          <w:sz w:val="20"/>
          <w:szCs w:val="20"/>
        </w:rPr>
        <w:t>We believe that both above capabilities should be supported by the CA schemes we propose for eV2X.</w:t>
      </w:r>
    </w:p>
    <w:p w14:paraId="0FC3FC0C" w14:textId="77777777" w:rsidR="00834083" w:rsidRPr="00DD0F3A" w:rsidRDefault="00DD0F3A" w:rsidP="00834083">
      <w:pPr>
        <w:pStyle w:val="BodyText"/>
        <w:spacing w:after="240"/>
        <w:jc w:val="both"/>
        <w:rPr>
          <w:b/>
          <w:i/>
          <w:sz w:val="20"/>
          <w:szCs w:val="20"/>
        </w:rPr>
      </w:pPr>
      <w:r w:rsidRPr="00DD0F3A">
        <w:rPr>
          <w:b/>
          <w:i/>
          <w:sz w:val="20"/>
          <w:szCs w:val="20"/>
        </w:rPr>
        <w:t>Proposals:</w:t>
      </w:r>
    </w:p>
    <w:p w14:paraId="6CA90550" w14:textId="77777777" w:rsidR="00DD0F3A" w:rsidRPr="00DD0F3A" w:rsidRDefault="00DD0F3A" w:rsidP="00DD0F3A">
      <w:pPr>
        <w:pStyle w:val="BodyText"/>
        <w:numPr>
          <w:ilvl w:val="0"/>
          <w:numId w:val="37"/>
        </w:numPr>
        <w:spacing w:after="240"/>
        <w:jc w:val="both"/>
        <w:rPr>
          <w:b/>
          <w:i/>
          <w:sz w:val="20"/>
          <w:szCs w:val="20"/>
        </w:rPr>
      </w:pPr>
      <w:r>
        <w:rPr>
          <w:b/>
          <w:i/>
          <w:sz w:val="20"/>
          <w:szCs w:val="20"/>
        </w:rPr>
        <w:t>Support both dynamic tx CC selection and simultaneous tx over multiple carriers.</w:t>
      </w:r>
    </w:p>
    <w:p w14:paraId="2B3DCDAB" w14:textId="77777777" w:rsidR="00DD0F3A" w:rsidRDefault="00DD0F3A" w:rsidP="00DD0F3A">
      <w:pPr>
        <w:pStyle w:val="BodyText"/>
        <w:spacing w:after="240"/>
        <w:jc w:val="both"/>
        <w:rPr>
          <w:sz w:val="20"/>
          <w:szCs w:val="20"/>
        </w:rPr>
      </w:pPr>
    </w:p>
    <w:p w14:paraId="7D07D97B" w14:textId="77777777" w:rsidR="00834083" w:rsidRDefault="00834083" w:rsidP="00834083">
      <w:pPr>
        <w:pStyle w:val="Heading1"/>
      </w:pPr>
      <w:r>
        <w:t xml:space="preserve">eV2X Rx Multicarrier Scenarios </w:t>
      </w:r>
    </w:p>
    <w:p w14:paraId="312F4503" w14:textId="77777777" w:rsidR="00834083" w:rsidRDefault="00834083" w:rsidP="00834083">
      <w:pPr>
        <w:pStyle w:val="BodyText"/>
        <w:spacing w:after="240"/>
        <w:jc w:val="both"/>
        <w:rPr>
          <w:sz w:val="20"/>
          <w:szCs w:val="20"/>
        </w:rPr>
      </w:pPr>
      <w:r>
        <w:rPr>
          <w:sz w:val="20"/>
          <w:szCs w:val="20"/>
        </w:rPr>
        <w:t>From a rx perspective, we wish to support as many enhancements as possible irrespective of the number of rx chains capability in the rx UE. Clearly, a UE with additional capability should benefit from enhanced performance, but the protocols should enable reception also for UEs with single rx chain, in most cases.</w:t>
      </w:r>
    </w:p>
    <w:p w14:paraId="7D774B58" w14:textId="77777777" w:rsidR="00834083" w:rsidRDefault="00834083" w:rsidP="00834083">
      <w:pPr>
        <w:pStyle w:val="BodyText"/>
        <w:spacing w:after="240"/>
        <w:jc w:val="both"/>
        <w:rPr>
          <w:sz w:val="20"/>
          <w:szCs w:val="20"/>
        </w:rPr>
      </w:pPr>
      <w:r>
        <w:rPr>
          <w:sz w:val="20"/>
          <w:szCs w:val="20"/>
        </w:rPr>
        <w:t>The only exception we identify is the case where a UE transmits different payload bits over different carriers (CA case), in which case a UE with single rx chain is clearly unable to detect correctly.</w:t>
      </w:r>
    </w:p>
    <w:p w14:paraId="64926534" w14:textId="7937FB8B" w:rsidR="00834083" w:rsidRDefault="00834083" w:rsidP="00834083">
      <w:pPr>
        <w:pStyle w:val="BodyText"/>
        <w:spacing w:after="240"/>
        <w:jc w:val="both"/>
        <w:rPr>
          <w:sz w:val="20"/>
          <w:szCs w:val="20"/>
        </w:rPr>
      </w:pPr>
      <w:r>
        <w:rPr>
          <w:sz w:val="20"/>
          <w:szCs w:val="20"/>
        </w:rPr>
        <w:t xml:space="preserve">From a rx perspective we do not see the point of supporting dynamic carrier switching. A UE should better monitor multiple carriers </w:t>
      </w:r>
      <w:r w:rsidR="00F63776">
        <w:rPr>
          <w:sz w:val="20"/>
          <w:szCs w:val="20"/>
        </w:rPr>
        <w:t xml:space="preserve">(depending on its UE capability) </w:t>
      </w:r>
      <w:r>
        <w:rPr>
          <w:sz w:val="20"/>
          <w:szCs w:val="20"/>
        </w:rPr>
        <w:t>continuously also to capture the associated SCI.</w:t>
      </w:r>
    </w:p>
    <w:p w14:paraId="5F416E01" w14:textId="77777777" w:rsidR="00DD0F3A" w:rsidRPr="00DD0F3A" w:rsidRDefault="00DD0F3A" w:rsidP="00DD0F3A">
      <w:pPr>
        <w:pStyle w:val="BodyText"/>
        <w:spacing w:after="240"/>
        <w:jc w:val="both"/>
        <w:rPr>
          <w:b/>
          <w:i/>
          <w:sz w:val="20"/>
          <w:szCs w:val="20"/>
        </w:rPr>
      </w:pPr>
      <w:r w:rsidRPr="00DD0F3A">
        <w:rPr>
          <w:b/>
          <w:i/>
          <w:sz w:val="20"/>
          <w:szCs w:val="20"/>
        </w:rPr>
        <w:t>Proposals:</w:t>
      </w:r>
    </w:p>
    <w:p w14:paraId="6C260EB4" w14:textId="77777777" w:rsidR="00DD0F3A" w:rsidRPr="00DD0F3A" w:rsidRDefault="00DD0F3A" w:rsidP="00DD0F3A">
      <w:pPr>
        <w:pStyle w:val="BodyText"/>
        <w:numPr>
          <w:ilvl w:val="0"/>
          <w:numId w:val="37"/>
        </w:numPr>
        <w:spacing w:after="240"/>
        <w:jc w:val="both"/>
        <w:rPr>
          <w:sz w:val="20"/>
          <w:szCs w:val="20"/>
        </w:rPr>
      </w:pPr>
      <w:r>
        <w:rPr>
          <w:b/>
          <w:i/>
          <w:sz w:val="20"/>
          <w:szCs w:val="20"/>
        </w:rPr>
        <w:t>A single rx chain UE should be able to detect data by UEs performing MC_Div.</w:t>
      </w:r>
    </w:p>
    <w:p w14:paraId="0B0EF047" w14:textId="77777777" w:rsidR="00DD0F3A" w:rsidRPr="00DD0F3A" w:rsidRDefault="00DD0F3A" w:rsidP="00DD0F3A">
      <w:pPr>
        <w:pStyle w:val="BodyText"/>
        <w:numPr>
          <w:ilvl w:val="0"/>
          <w:numId w:val="37"/>
        </w:numPr>
        <w:spacing w:after="240"/>
        <w:jc w:val="both"/>
        <w:rPr>
          <w:sz w:val="20"/>
          <w:szCs w:val="20"/>
        </w:rPr>
      </w:pPr>
      <w:r>
        <w:rPr>
          <w:b/>
          <w:i/>
          <w:sz w:val="20"/>
          <w:szCs w:val="20"/>
        </w:rPr>
        <w:t>From a rx perspective there is no clear need to support dynamic carrier switching.</w:t>
      </w:r>
    </w:p>
    <w:p w14:paraId="57248206" w14:textId="77777777" w:rsidR="00DD0F3A" w:rsidRDefault="00DD0F3A" w:rsidP="00DD0F3A">
      <w:pPr>
        <w:pStyle w:val="BodyText"/>
        <w:spacing w:after="240"/>
        <w:ind w:left="720"/>
        <w:jc w:val="both"/>
        <w:rPr>
          <w:sz w:val="20"/>
          <w:szCs w:val="20"/>
        </w:rPr>
      </w:pPr>
    </w:p>
    <w:p w14:paraId="2E9CFCCB" w14:textId="77777777" w:rsidR="00834083" w:rsidRDefault="00834083" w:rsidP="00834083">
      <w:pPr>
        <w:pStyle w:val="Heading1"/>
      </w:pPr>
      <w:r>
        <w:t>Protocol Aspects</w:t>
      </w:r>
    </w:p>
    <w:p w14:paraId="579ABEB4" w14:textId="7B4DA2D1" w:rsidR="00834083" w:rsidRDefault="00834083" w:rsidP="00834083">
      <w:pPr>
        <w:pStyle w:val="BodyText"/>
        <w:spacing w:after="240"/>
        <w:jc w:val="both"/>
        <w:rPr>
          <w:sz w:val="20"/>
          <w:szCs w:val="20"/>
        </w:rPr>
      </w:pPr>
      <w:r>
        <w:rPr>
          <w:sz w:val="20"/>
          <w:szCs w:val="20"/>
        </w:rPr>
        <w:t>Some updates to the SCI may be considered in order to signal transmissions that span across carriers. Such changes are not strictly necessary but they provide redundancy in the control info</w:t>
      </w:r>
      <w:r w:rsidR="00190D42">
        <w:rPr>
          <w:sz w:val="20"/>
          <w:szCs w:val="20"/>
        </w:rPr>
        <w:t>rmation</w:t>
      </w:r>
      <w:r>
        <w:rPr>
          <w:sz w:val="20"/>
          <w:szCs w:val="20"/>
        </w:rPr>
        <w:t>, which improves reliability. Transmission of the same data payload across carriers (MC_Div case) can be achieved as a special ca</w:t>
      </w:r>
      <w:r w:rsidR="00190D42">
        <w:rPr>
          <w:sz w:val="20"/>
          <w:szCs w:val="20"/>
        </w:rPr>
        <w:t>s</w:t>
      </w:r>
      <w:r>
        <w:rPr>
          <w:sz w:val="20"/>
          <w:szCs w:val="20"/>
        </w:rPr>
        <w:t>e of HARQ transmission.</w:t>
      </w:r>
    </w:p>
    <w:p w14:paraId="6692D9C1" w14:textId="363A0AB2" w:rsidR="00834083" w:rsidRDefault="00834083" w:rsidP="00834083">
      <w:pPr>
        <w:pStyle w:val="BodyText"/>
        <w:spacing w:after="240"/>
        <w:jc w:val="both"/>
        <w:rPr>
          <w:sz w:val="20"/>
          <w:szCs w:val="20"/>
        </w:rPr>
      </w:pPr>
      <w:r>
        <w:rPr>
          <w:sz w:val="20"/>
          <w:szCs w:val="20"/>
        </w:rPr>
        <w:t xml:space="preserve">When it comes to L2/L3 protocols we do not see </w:t>
      </w:r>
      <w:r w:rsidR="00190D42">
        <w:rPr>
          <w:sz w:val="20"/>
          <w:szCs w:val="20"/>
        </w:rPr>
        <w:t xml:space="preserve">the </w:t>
      </w:r>
      <w:r>
        <w:rPr>
          <w:sz w:val="20"/>
          <w:szCs w:val="20"/>
        </w:rPr>
        <w:t xml:space="preserve">need for </w:t>
      </w:r>
      <w:r w:rsidR="003713CC">
        <w:rPr>
          <w:sz w:val="20"/>
          <w:szCs w:val="20"/>
        </w:rPr>
        <w:t xml:space="preserve">major </w:t>
      </w:r>
      <w:r>
        <w:rPr>
          <w:sz w:val="20"/>
          <w:szCs w:val="20"/>
        </w:rPr>
        <w:t xml:space="preserve">changes to support the above scenarios. In case of CA we see that the RLC/PDCP protocols provide packet reordering, while for MC_Div the same </w:t>
      </w:r>
      <w:r w:rsidR="00C73E83">
        <w:rPr>
          <w:sz w:val="20"/>
          <w:szCs w:val="20"/>
        </w:rPr>
        <w:t>MAC PDU</w:t>
      </w:r>
      <w:r>
        <w:rPr>
          <w:sz w:val="20"/>
          <w:szCs w:val="20"/>
        </w:rPr>
        <w:t xml:space="preserve"> is transmitted over multiple carriers (scheduled by a single or duplicated SCI) and packets are recombined at L1.</w:t>
      </w:r>
    </w:p>
    <w:p w14:paraId="2AB89D34" w14:textId="77777777" w:rsidR="00DD0F3A" w:rsidRPr="00DD0F3A" w:rsidRDefault="00DD0F3A" w:rsidP="00DD0F3A">
      <w:pPr>
        <w:pStyle w:val="BodyText"/>
        <w:spacing w:after="240"/>
        <w:jc w:val="both"/>
        <w:rPr>
          <w:b/>
          <w:i/>
          <w:sz w:val="20"/>
          <w:szCs w:val="20"/>
        </w:rPr>
      </w:pPr>
      <w:r w:rsidRPr="00DD0F3A">
        <w:rPr>
          <w:b/>
          <w:i/>
          <w:sz w:val="20"/>
          <w:szCs w:val="20"/>
        </w:rPr>
        <w:t>Proposals:</w:t>
      </w:r>
    </w:p>
    <w:p w14:paraId="07739070" w14:textId="77777777" w:rsidR="00834083" w:rsidRPr="00DD0F3A" w:rsidRDefault="00DD0F3A" w:rsidP="00834083">
      <w:pPr>
        <w:pStyle w:val="BodyText"/>
        <w:numPr>
          <w:ilvl w:val="0"/>
          <w:numId w:val="37"/>
        </w:numPr>
        <w:spacing w:after="240"/>
        <w:jc w:val="both"/>
        <w:rPr>
          <w:sz w:val="20"/>
          <w:szCs w:val="20"/>
        </w:rPr>
      </w:pPr>
      <w:r>
        <w:rPr>
          <w:b/>
          <w:i/>
          <w:sz w:val="20"/>
          <w:szCs w:val="20"/>
        </w:rPr>
        <w:t>SCI changes are useful to provide redundancy of control information across CCs.</w:t>
      </w:r>
    </w:p>
    <w:p w14:paraId="7778C32B" w14:textId="259BFE06" w:rsidR="00DD0F3A" w:rsidRDefault="00DD0F3A" w:rsidP="00834083">
      <w:pPr>
        <w:pStyle w:val="BodyText"/>
        <w:numPr>
          <w:ilvl w:val="0"/>
          <w:numId w:val="37"/>
        </w:numPr>
        <w:spacing w:after="240"/>
        <w:jc w:val="both"/>
        <w:rPr>
          <w:sz w:val="20"/>
          <w:szCs w:val="20"/>
        </w:rPr>
      </w:pPr>
      <w:r>
        <w:rPr>
          <w:b/>
          <w:i/>
          <w:sz w:val="20"/>
          <w:szCs w:val="20"/>
        </w:rPr>
        <w:t xml:space="preserve">No </w:t>
      </w:r>
      <w:r w:rsidR="00EF7BE1">
        <w:rPr>
          <w:b/>
          <w:i/>
          <w:sz w:val="20"/>
          <w:szCs w:val="20"/>
        </w:rPr>
        <w:t xml:space="preserve">major </w:t>
      </w:r>
      <w:r>
        <w:rPr>
          <w:b/>
          <w:i/>
          <w:sz w:val="20"/>
          <w:szCs w:val="20"/>
        </w:rPr>
        <w:t xml:space="preserve">changes </w:t>
      </w:r>
      <w:r w:rsidR="00EF7BE1">
        <w:rPr>
          <w:b/>
          <w:i/>
          <w:sz w:val="20"/>
          <w:szCs w:val="20"/>
        </w:rPr>
        <w:t>to</w:t>
      </w:r>
      <w:r>
        <w:rPr>
          <w:b/>
          <w:i/>
          <w:sz w:val="20"/>
          <w:szCs w:val="20"/>
        </w:rPr>
        <w:t xml:space="preserve"> L2/L3 protocols are needed to support CA and MC_Div scenarios.</w:t>
      </w:r>
    </w:p>
    <w:p w14:paraId="6EE44872" w14:textId="77777777" w:rsidR="00DD0F3A" w:rsidRPr="00DD0F3A" w:rsidRDefault="00DD0F3A" w:rsidP="00DD0F3A">
      <w:pPr>
        <w:pStyle w:val="BodyText"/>
        <w:spacing w:after="240"/>
        <w:jc w:val="both"/>
        <w:rPr>
          <w:sz w:val="20"/>
          <w:szCs w:val="20"/>
        </w:rPr>
      </w:pPr>
    </w:p>
    <w:p w14:paraId="46BC391F" w14:textId="77777777" w:rsidR="00834083" w:rsidRDefault="00834083" w:rsidP="00834083">
      <w:pPr>
        <w:pStyle w:val="Heading1"/>
      </w:pPr>
      <w:r>
        <w:t>Sensing</w:t>
      </w:r>
    </w:p>
    <w:p w14:paraId="3DE82FE8" w14:textId="77777777" w:rsidR="00834083" w:rsidRDefault="00834083" w:rsidP="00834083">
      <w:pPr>
        <w:pStyle w:val="BodyText"/>
        <w:spacing w:after="240"/>
        <w:jc w:val="both"/>
        <w:rPr>
          <w:sz w:val="20"/>
          <w:szCs w:val="20"/>
        </w:rPr>
      </w:pPr>
      <w:r>
        <w:rPr>
          <w:sz w:val="20"/>
          <w:szCs w:val="20"/>
        </w:rPr>
        <w:t>We do not see reasons to change the sensing protocol. Every CC is sensed independently and a UE must sense a carrier according to legacy procedures before potentially transmitting over it.</w:t>
      </w:r>
    </w:p>
    <w:p w14:paraId="0F82A25D" w14:textId="77777777" w:rsidR="00DD0F3A" w:rsidRPr="00DD0F3A" w:rsidRDefault="00DD0F3A" w:rsidP="00DD0F3A">
      <w:pPr>
        <w:pStyle w:val="BodyText"/>
        <w:spacing w:after="240"/>
        <w:jc w:val="both"/>
        <w:rPr>
          <w:b/>
          <w:i/>
          <w:sz w:val="20"/>
          <w:szCs w:val="20"/>
        </w:rPr>
      </w:pPr>
      <w:r w:rsidRPr="00DD0F3A">
        <w:rPr>
          <w:b/>
          <w:i/>
          <w:sz w:val="20"/>
          <w:szCs w:val="20"/>
        </w:rPr>
        <w:t>Proposals:</w:t>
      </w:r>
    </w:p>
    <w:p w14:paraId="219B7D6A" w14:textId="77777777" w:rsidR="00DD0F3A" w:rsidRPr="00DD0F3A" w:rsidRDefault="00DD0F3A" w:rsidP="00DD0F3A">
      <w:pPr>
        <w:pStyle w:val="BodyText"/>
        <w:numPr>
          <w:ilvl w:val="0"/>
          <w:numId w:val="37"/>
        </w:numPr>
        <w:spacing w:after="240"/>
        <w:jc w:val="both"/>
        <w:rPr>
          <w:sz w:val="20"/>
          <w:szCs w:val="20"/>
        </w:rPr>
      </w:pPr>
      <w:r w:rsidRPr="00DD0F3A">
        <w:rPr>
          <w:b/>
          <w:i/>
          <w:sz w:val="20"/>
          <w:szCs w:val="20"/>
        </w:rPr>
        <w:t>Every CC is sensed independently and a UE must sense a carrier according to legacy procedures</w:t>
      </w:r>
      <w:r>
        <w:rPr>
          <w:b/>
          <w:i/>
          <w:sz w:val="20"/>
          <w:szCs w:val="20"/>
        </w:rPr>
        <w:t>.</w:t>
      </w:r>
    </w:p>
    <w:p w14:paraId="652704C0" w14:textId="77777777" w:rsidR="00834083" w:rsidRDefault="00834083" w:rsidP="00834083">
      <w:pPr>
        <w:pStyle w:val="BodyText"/>
        <w:spacing w:after="240"/>
        <w:jc w:val="both"/>
        <w:rPr>
          <w:sz w:val="20"/>
          <w:szCs w:val="20"/>
        </w:rPr>
      </w:pPr>
    </w:p>
    <w:p w14:paraId="24EE3143" w14:textId="77777777" w:rsidR="00834083" w:rsidRDefault="00834083" w:rsidP="00834083">
      <w:pPr>
        <w:pStyle w:val="Heading1"/>
      </w:pPr>
      <w:r>
        <w:t>Multicarrier Synchronization</w:t>
      </w:r>
    </w:p>
    <w:p w14:paraId="60E4A650" w14:textId="77777777" w:rsidR="00834083" w:rsidRDefault="00834083" w:rsidP="00834083">
      <w:pPr>
        <w:pStyle w:val="BodyText"/>
        <w:spacing w:after="240"/>
        <w:jc w:val="both"/>
        <w:rPr>
          <w:sz w:val="20"/>
          <w:szCs w:val="20"/>
        </w:rPr>
      </w:pPr>
      <w:r>
        <w:rPr>
          <w:sz w:val="20"/>
          <w:szCs w:val="20"/>
        </w:rPr>
        <w:t>We think it is reasonable to assume that all aggregated carriers share the same synchronization reference at a given time (GNSS, eNB or SLSS). If a UE has multicarrier tx capabilities it should transmit SLSS on multiple carriers according to its (pre)configuration.</w:t>
      </w:r>
    </w:p>
    <w:p w14:paraId="3ECD3623" w14:textId="77777777" w:rsidR="00DD0F3A" w:rsidRPr="00DD0F3A" w:rsidRDefault="00DD0F3A" w:rsidP="00834083">
      <w:pPr>
        <w:pStyle w:val="BodyText"/>
        <w:spacing w:after="240"/>
        <w:jc w:val="both"/>
        <w:rPr>
          <w:b/>
          <w:i/>
          <w:sz w:val="20"/>
          <w:szCs w:val="20"/>
        </w:rPr>
      </w:pPr>
      <w:r w:rsidRPr="00DD0F3A">
        <w:rPr>
          <w:b/>
          <w:i/>
          <w:sz w:val="20"/>
          <w:szCs w:val="20"/>
        </w:rPr>
        <w:t>Proposal:</w:t>
      </w:r>
    </w:p>
    <w:p w14:paraId="61A2A5D8" w14:textId="77777777" w:rsidR="00DD0F3A" w:rsidRPr="00DD0F3A" w:rsidRDefault="00DD0F3A" w:rsidP="00DD0F3A">
      <w:pPr>
        <w:pStyle w:val="BodyText"/>
        <w:numPr>
          <w:ilvl w:val="0"/>
          <w:numId w:val="37"/>
        </w:numPr>
        <w:spacing w:after="240"/>
        <w:jc w:val="both"/>
        <w:rPr>
          <w:b/>
          <w:i/>
          <w:sz w:val="20"/>
          <w:szCs w:val="20"/>
        </w:rPr>
      </w:pPr>
      <w:r w:rsidRPr="00DD0F3A">
        <w:rPr>
          <w:b/>
          <w:i/>
          <w:sz w:val="20"/>
          <w:szCs w:val="20"/>
        </w:rPr>
        <w:t>All aggregated carriers share the same synchronization reference at a given time (GNSS, eNB or SLSS)</w:t>
      </w:r>
      <w:r>
        <w:rPr>
          <w:b/>
          <w:i/>
          <w:sz w:val="20"/>
          <w:szCs w:val="20"/>
        </w:rPr>
        <w:t>.</w:t>
      </w:r>
    </w:p>
    <w:p w14:paraId="37C13419" w14:textId="77777777" w:rsidR="00834083" w:rsidRDefault="00834083" w:rsidP="00834083">
      <w:pPr>
        <w:pStyle w:val="Heading1"/>
      </w:pPr>
      <w:r>
        <w:lastRenderedPageBreak/>
        <w:t>Congestion Control, TMs and Carrier(s) Selection</w:t>
      </w:r>
    </w:p>
    <w:p w14:paraId="09F87AC0" w14:textId="77777777" w:rsidR="00834083" w:rsidRDefault="00834083" w:rsidP="00834083">
      <w:pPr>
        <w:pStyle w:val="BodyText"/>
        <w:spacing w:after="240"/>
        <w:jc w:val="both"/>
        <w:rPr>
          <w:sz w:val="20"/>
          <w:szCs w:val="20"/>
        </w:rPr>
      </w:pPr>
      <w:r>
        <w:rPr>
          <w:sz w:val="20"/>
          <w:szCs w:val="20"/>
        </w:rPr>
        <w:t>C</w:t>
      </w:r>
      <w:r w:rsidR="009005A9">
        <w:rPr>
          <w:sz w:val="20"/>
          <w:szCs w:val="20"/>
        </w:rPr>
        <w:t xml:space="preserve">hannel </w:t>
      </w:r>
      <w:r>
        <w:rPr>
          <w:sz w:val="20"/>
          <w:szCs w:val="20"/>
        </w:rPr>
        <w:t>B</w:t>
      </w:r>
      <w:r w:rsidR="009005A9">
        <w:rPr>
          <w:sz w:val="20"/>
          <w:szCs w:val="20"/>
        </w:rPr>
        <w:t xml:space="preserve">usy </w:t>
      </w:r>
      <w:r>
        <w:rPr>
          <w:sz w:val="20"/>
          <w:szCs w:val="20"/>
        </w:rPr>
        <w:t>R</w:t>
      </w:r>
      <w:r w:rsidR="009005A9">
        <w:rPr>
          <w:sz w:val="20"/>
          <w:szCs w:val="20"/>
        </w:rPr>
        <w:t>atio and Channel Resource (CBR</w:t>
      </w:r>
      <w:r>
        <w:rPr>
          <w:sz w:val="20"/>
          <w:szCs w:val="20"/>
        </w:rPr>
        <w:t>/CR</w:t>
      </w:r>
      <w:r w:rsidR="009005A9">
        <w:rPr>
          <w:sz w:val="20"/>
          <w:szCs w:val="20"/>
        </w:rPr>
        <w:t>)</w:t>
      </w:r>
      <w:r>
        <w:rPr>
          <w:sz w:val="20"/>
          <w:szCs w:val="20"/>
        </w:rPr>
        <w:t xml:space="preserve"> measurements should be performed independently per configured carriers and reported to the eNB as such. The congestion control mechanism acts independently per carrier. </w:t>
      </w:r>
    </w:p>
    <w:p w14:paraId="1C89DF29" w14:textId="77777777" w:rsidR="00834083" w:rsidRDefault="00834083" w:rsidP="00834083">
      <w:pPr>
        <w:pStyle w:val="BodyText"/>
        <w:spacing w:after="240"/>
        <w:jc w:val="both"/>
        <w:rPr>
          <w:sz w:val="20"/>
          <w:szCs w:val="20"/>
        </w:rPr>
      </w:pPr>
      <w:r>
        <w:rPr>
          <w:sz w:val="20"/>
          <w:szCs w:val="20"/>
        </w:rPr>
        <w:t>It makes sense that a UE is configured with a single common TM across all configured carriers.</w:t>
      </w:r>
    </w:p>
    <w:p w14:paraId="7042DF57" w14:textId="77777777" w:rsidR="00834083" w:rsidRDefault="00834083" w:rsidP="00834083">
      <w:pPr>
        <w:pStyle w:val="BodyText"/>
        <w:spacing w:after="240"/>
        <w:jc w:val="both"/>
        <w:rPr>
          <w:sz w:val="20"/>
          <w:szCs w:val="20"/>
        </w:rPr>
      </w:pPr>
      <w:r>
        <w:rPr>
          <w:sz w:val="20"/>
          <w:szCs w:val="20"/>
        </w:rPr>
        <w:t>In TM3 the DCI format should indicate the carrier(s) used for transmission of a certain TB.</w:t>
      </w:r>
    </w:p>
    <w:p w14:paraId="507EF654" w14:textId="4CDB6A7A" w:rsidR="00834083" w:rsidRDefault="00834083" w:rsidP="00834083">
      <w:pPr>
        <w:pStyle w:val="BodyText"/>
        <w:spacing w:after="240"/>
        <w:jc w:val="both"/>
        <w:rPr>
          <w:sz w:val="20"/>
          <w:szCs w:val="20"/>
        </w:rPr>
      </w:pPr>
      <w:r>
        <w:rPr>
          <w:sz w:val="20"/>
          <w:szCs w:val="20"/>
        </w:rPr>
        <w:t>In TM4</w:t>
      </w:r>
      <w:r w:rsidR="005E3E95">
        <w:rPr>
          <w:sz w:val="20"/>
          <w:szCs w:val="20"/>
        </w:rPr>
        <w:t>,</w:t>
      </w:r>
      <w:r>
        <w:rPr>
          <w:sz w:val="20"/>
          <w:szCs w:val="20"/>
        </w:rPr>
        <w:t xml:space="preserve"> </w:t>
      </w:r>
      <w:r w:rsidR="005E3E95">
        <w:rPr>
          <w:sz w:val="20"/>
          <w:szCs w:val="20"/>
        </w:rPr>
        <w:t xml:space="preserve">out of a certain a certain number of CCs that are made available to the UE, </w:t>
      </w:r>
      <w:r w:rsidR="009005A9">
        <w:rPr>
          <w:sz w:val="20"/>
          <w:szCs w:val="20"/>
        </w:rPr>
        <w:t>t</w:t>
      </w:r>
      <w:r>
        <w:rPr>
          <w:sz w:val="20"/>
          <w:szCs w:val="20"/>
        </w:rPr>
        <w:t>he choice of the CC(s) that are most suitable for a certain data transmission</w:t>
      </w:r>
      <w:r w:rsidR="009005A9">
        <w:rPr>
          <w:sz w:val="20"/>
          <w:szCs w:val="20"/>
        </w:rPr>
        <w:t xml:space="preserve"> is left for UE implementation</w:t>
      </w:r>
      <w:r>
        <w:rPr>
          <w:sz w:val="20"/>
          <w:szCs w:val="20"/>
        </w:rPr>
        <w:t xml:space="preserve">. </w:t>
      </w:r>
    </w:p>
    <w:p w14:paraId="31BCD9BF" w14:textId="77777777" w:rsidR="00834083" w:rsidRPr="00DD0F3A" w:rsidRDefault="00DD0F3A" w:rsidP="00834083">
      <w:pPr>
        <w:pStyle w:val="BodyText"/>
        <w:spacing w:after="240"/>
        <w:jc w:val="both"/>
        <w:rPr>
          <w:b/>
          <w:i/>
          <w:sz w:val="20"/>
          <w:szCs w:val="20"/>
        </w:rPr>
      </w:pPr>
      <w:r w:rsidRPr="00DD0F3A">
        <w:rPr>
          <w:b/>
          <w:i/>
          <w:sz w:val="20"/>
          <w:szCs w:val="20"/>
        </w:rPr>
        <w:t>Proposals:</w:t>
      </w:r>
    </w:p>
    <w:p w14:paraId="34FA3713" w14:textId="1890AA75" w:rsidR="00DD0F3A" w:rsidRDefault="00DD0F3A" w:rsidP="00DD0F3A">
      <w:pPr>
        <w:pStyle w:val="BodyText"/>
        <w:numPr>
          <w:ilvl w:val="0"/>
          <w:numId w:val="37"/>
        </w:numPr>
        <w:spacing w:after="240"/>
        <w:jc w:val="both"/>
        <w:rPr>
          <w:b/>
          <w:i/>
          <w:sz w:val="20"/>
          <w:szCs w:val="20"/>
        </w:rPr>
      </w:pPr>
      <w:r w:rsidRPr="00DD0F3A">
        <w:rPr>
          <w:b/>
          <w:i/>
          <w:sz w:val="20"/>
          <w:szCs w:val="20"/>
        </w:rPr>
        <w:t>A UE is configured with a single TM over all PC5 CCs at a given time.</w:t>
      </w:r>
    </w:p>
    <w:p w14:paraId="5785B692" w14:textId="77777777" w:rsidR="005E3E95" w:rsidRPr="005C7E7C" w:rsidRDefault="005E3E95" w:rsidP="005E3E95">
      <w:pPr>
        <w:pStyle w:val="BodyText"/>
        <w:numPr>
          <w:ilvl w:val="1"/>
          <w:numId w:val="37"/>
        </w:numPr>
        <w:spacing w:after="240"/>
        <w:jc w:val="both"/>
        <w:rPr>
          <w:b/>
          <w:i/>
          <w:sz w:val="20"/>
          <w:szCs w:val="20"/>
        </w:rPr>
      </w:pPr>
      <w:r w:rsidRPr="005C7E7C">
        <w:rPr>
          <w:b/>
          <w:i/>
          <w:sz w:val="20"/>
          <w:szCs w:val="20"/>
        </w:rPr>
        <w:t>In TM3 the DCI format should indicate the carrier(s) used for transmission of a certain TB</w:t>
      </w:r>
    </w:p>
    <w:p w14:paraId="00E7FFB5" w14:textId="36798F63" w:rsidR="005E3E95" w:rsidRPr="00C73E83" w:rsidRDefault="005E3E95">
      <w:pPr>
        <w:pStyle w:val="BodyText"/>
        <w:numPr>
          <w:ilvl w:val="1"/>
          <w:numId w:val="37"/>
        </w:numPr>
        <w:spacing w:after="240"/>
        <w:jc w:val="both"/>
        <w:rPr>
          <w:b/>
          <w:i/>
          <w:sz w:val="20"/>
          <w:szCs w:val="20"/>
        </w:rPr>
      </w:pPr>
      <w:r w:rsidRPr="005C7E7C">
        <w:rPr>
          <w:b/>
          <w:i/>
          <w:sz w:val="20"/>
          <w:szCs w:val="20"/>
        </w:rPr>
        <w:t xml:space="preserve">In TM4, assuming a certain number of CCs that are made available to the UE, the choice of the specific CC(s) that are most suitable for a certain data transmission is left for UE </w:t>
      </w:r>
      <w:r w:rsidRPr="00C73E83">
        <w:rPr>
          <w:b/>
          <w:i/>
          <w:sz w:val="20"/>
          <w:szCs w:val="20"/>
        </w:rPr>
        <w:t>implementation.</w:t>
      </w:r>
      <w:r w:rsidR="00E2158D" w:rsidRPr="00C73E83">
        <w:rPr>
          <w:b/>
          <w:i/>
          <w:sz w:val="20"/>
          <w:szCs w:val="20"/>
        </w:rPr>
        <w:t xml:space="preserve"> The SCI format should indicate the carrier(s) used for transmission of a certain TB</w:t>
      </w:r>
    </w:p>
    <w:p w14:paraId="7E1FA0B3" w14:textId="77777777" w:rsidR="00DD0F3A" w:rsidRPr="00DD0F3A" w:rsidRDefault="00DD0F3A" w:rsidP="00DD0F3A">
      <w:pPr>
        <w:pStyle w:val="BodyText"/>
        <w:numPr>
          <w:ilvl w:val="0"/>
          <w:numId w:val="37"/>
        </w:numPr>
        <w:spacing w:after="240"/>
        <w:jc w:val="both"/>
        <w:rPr>
          <w:b/>
          <w:i/>
          <w:sz w:val="20"/>
          <w:szCs w:val="20"/>
        </w:rPr>
      </w:pPr>
      <w:r w:rsidRPr="00DD0F3A">
        <w:rPr>
          <w:b/>
          <w:i/>
          <w:sz w:val="20"/>
          <w:szCs w:val="20"/>
        </w:rPr>
        <w:t>Congestion control and associated procedures are performed independently per configured CC.</w:t>
      </w:r>
    </w:p>
    <w:p w14:paraId="1E64FA33" w14:textId="77777777" w:rsidR="00DD0F3A" w:rsidRDefault="00DD0F3A" w:rsidP="00834083">
      <w:pPr>
        <w:pStyle w:val="BodyText"/>
        <w:spacing w:after="240"/>
        <w:jc w:val="both"/>
        <w:rPr>
          <w:sz w:val="20"/>
          <w:szCs w:val="20"/>
        </w:rPr>
      </w:pPr>
    </w:p>
    <w:p w14:paraId="22DF4415" w14:textId="77777777" w:rsidR="00DD0F3A" w:rsidRDefault="00DD0F3A" w:rsidP="00DD0F3A">
      <w:pPr>
        <w:pStyle w:val="Heading1"/>
      </w:pPr>
      <w:r>
        <w:t>Conclusions</w:t>
      </w:r>
    </w:p>
    <w:p w14:paraId="461B86BF" w14:textId="77777777" w:rsidR="005C7E7C" w:rsidRPr="00DD0F3A" w:rsidRDefault="005C7E7C" w:rsidP="005C7E7C">
      <w:pPr>
        <w:pStyle w:val="BodyText"/>
        <w:spacing w:after="240"/>
        <w:jc w:val="both"/>
        <w:rPr>
          <w:b/>
          <w:i/>
          <w:sz w:val="20"/>
          <w:szCs w:val="20"/>
        </w:rPr>
      </w:pPr>
      <w:r w:rsidRPr="00DD0F3A">
        <w:rPr>
          <w:b/>
          <w:i/>
          <w:sz w:val="20"/>
          <w:szCs w:val="20"/>
        </w:rPr>
        <w:t>Proposals:</w:t>
      </w:r>
    </w:p>
    <w:p w14:paraId="290D36D0" w14:textId="77777777" w:rsidR="005C7E7C" w:rsidRPr="00DD0F3A" w:rsidRDefault="005C7E7C" w:rsidP="005C7E7C">
      <w:pPr>
        <w:pStyle w:val="BodyText"/>
        <w:numPr>
          <w:ilvl w:val="0"/>
          <w:numId w:val="37"/>
        </w:numPr>
        <w:spacing w:after="240"/>
        <w:jc w:val="both"/>
        <w:rPr>
          <w:b/>
          <w:i/>
          <w:sz w:val="20"/>
          <w:szCs w:val="20"/>
        </w:rPr>
      </w:pPr>
      <w:r w:rsidRPr="00DD0F3A">
        <w:rPr>
          <w:b/>
          <w:i/>
          <w:sz w:val="20"/>
          <w:szCs w:val="20"/>
        </w:rPr>
        <w:t>Support the following tx multicarrier scenarios:</w:t>
      </w:r>
    </w:p>
    <w:p w14:paraId="7AFC92D7" w14:textId="77777777" w:rsidR="005C7E7C" w:rsidRPr="00DD0F3A" w:rsidRDefault="005C7E7C" w:rsidP="005C7E7C">
      <w:pPr>
        <w:pStyle w:val="BodyText"/>
        <w:numPr>
          <w:ilvl w:val="0"/>
          <w:numId w:val="39"/>
        </w:numPr>
        <w:spacing w:after="240"/>
        <w:jc w:val="both"/>
        <w:rPr>
          <w:b/>
          <w:i/>
          <w:sz w:val="20"/>
          <w:szCs w:val="20"/>
        </w:rPr>
      </w:pPr>
      <w:r w:rsidRPr="00DD0F3A">
        <w:rPr>
          <w:b/>
          <w:i/>
          <w:sz w:val="20"/>
          <w:szCs w:val="20"/>
        </w:rPr>
        <w:t>CA for improved data-rate by splitting a given higher-layer data payload over multiple carriers.</w:t>
      </w:r>
    </w:p>
    <w:p w14:paraId="469A34AC" w14:textId="07DA74BB" w:rsidR="005C7E7C" w:rsidRDefault="005C7E7C" w:rsidP="005C7E7C">
      <w:pPr>
        <w:pStyle w:val="BodyText"/>
        <w:numPr>
          <w:ilvl w:val="0"/>
          <w:numId w:val="39"/>
        </w:numPr>
        <w:spacing w:after="240"/>
        <w:jc w:val="both"/>
        <w:rPr>
          <w:b/>
          <w:i/>
          <w:sz w:val="20"/>
          <w:szCs w:val="20"/>
        </w:rPr>
      </w:pPr>
      <w:r w:rsidRPr="00DD0F3A">
        <w:rPr>
          <w:b/>
          <w:i/>
          <w:sz w:val="20"/>
          <w:szCs w:val="20"/>
        </w:rPr>
        <w:t>MC_Div for improved range and reliability</w:t>
      </w:r>
      <w:r>
        <w:rPr>
          <w:b/>
          <w:i/>
          <w:sz w:val="20"/>
          <w:szCs w:val="20"/>
        </w:rPr>
        <w:t xml:space="preserve"> with the possibility to</w:t>
      </w:r>
      <w:r w:rsidRPr="00DD0F3A">
        <w:rPr>
          <w:b/>
          <w:i/>
          <w:sz w:val="20"/>
          <w:szCs w:val="20"/>
        </w:rPr>
        <w:t xml:space="preserve"> soft-re-transmit a given TB over multiple carriers.</w:t>
      </w:r>
    </w:p>
    <w:p w14:paraId="6F5C43B9" w14:textId="77777777" w:rsidR="005C7E7C" w:rsidRPr="00DD0F3A" w:rsidRDefault="005C7E7C" w:rsidP="005C7E7C">
      <w:pPr>
        <w:pStyle w:val="BodyText"/>
        <w:spacing w:after="240"/>
        <w:jc w:val="both"/>
        <w:rPr>
          <w:b/>
          <w:i/>
          <w:sz w:val="20"/>
          <w:szCs w:val="20"/>
        </w:rPr>
      </w:pPr>
      <w:r w:rsidRPr="00DD0F3A">
        <w:rPr>
          <w:b/>
          <w:i/>
          <w:sz w:val="20"/>
          <w:szCs w:val="20"/>
        </w:rPr>
        <w:t>Proposals:</w:t>
      </w:r>
    </w:p>
    <w:p w14:paraId="419F0339" w14:textId="77777777" w:rsidR="005C7E7C" w:rsidRPr="00DD0F3A" w:rsidRDefault="005C7E7C" w:rsidP="005C7E7C">
      <w:pPr>
        <w:pStyle w:val="BodyText"/>
        <w:numPr>
          <w:ilvl w:val="0"/>
          <w:numId w:val="37"/>
        </w:numPr>
        <w:spacing w:after="240"/>
        <w:jc w:val="both"/>
        <w:rPr>
          <w:b/>
          <w:i/>
          <w:sz w:val="20"/>
          <w:szCs w:val="20"/>
        </w:rPr>
      </w:pPr>
      <w:r>
        <w:rPr>
          <w:b/>
          <w:i/>
          <w:sz w:val="20"/>
          <w:szCs w:val="20"/>
        </w:rPr>
        <w:t>Support both dynamic tx CC selection and simultaneous tx over multiple carriers.</w:t>
      </w:r>
    </w:p>
    <w:p w14:paraId="412332AE" w14:textId="77777777" w:rsidR="005C7E7C" w:rsidRPr="00DD0F3A" w:rsidRDefault="005C7E7C" w:rsidP="005C7E7C">
      <w:pPr>
        <w:pStyle w:val="BodyText"/>
        <w:spacing w:after="240"/>
        <w:jc w:val="both"/>
        <w:rPr>
          <w:b/>
          <w:i/>
          <w:sz w:val="20"/>
          <w:szCs w:val="20"/>
        </w:rPr>
      </w:pPr>
      <w:r w:rsidRPr="00DD0F3A">
        <w:rPr>
          <w:b/>
          <w:i/>
          <w:sz w:val="20"/>
          <w:szCs w:val="20"/>
        </w:rPr>
        <w:t>Proposals:</w:t>
      </w:r>
    </w:p>
    <w:p w14:paraId="7E5C1A0B" w14:textId="77777777" w:rsidR="005C7E7C" w:rsidRPr="00DD0F3A" w:rsidRDefault="005C7E7C" w:rsidP="005C7E7C">
      <w:pPr>
        <w:pStyle w:val="BodyText"/>
        <w:numPr>
          <w:ilvl w:val="0"/>
          <w:numId w:val="37"/>
        </w:numPr>
        <w:spacing w:after="240"/>
        <w:jc w:val="both"/>
        <w:rPr>
          <w:sz w:val="20"/>
          <w:szCs w:val="20"/>
        </w:rPr>
      </w:pPr>
      <w:r>
        <w:rPr>
          <w:b/>
          <w:i/>
          <w:sz w:val="20"/>
          <w:szCs w:val="20"/>
        </w:rPr>
        <w:t>A single rx chain UE should be able to detect data by UEs performing MC_Div.</w:t>
      </w:r>
    </w:p>
    <w:p w14:paraId="2E601A39" w14:textId="77777777" w:rsidR="005C7E7C" w:rsidRPr="00DD0F3A" w:rsidRDefault="005C7E7C" w:rsidP="005C7E7C">
      <w:pPr>
        <w:pStyle w:val="BodyText"/>
        <w:numPr>
          <w:ilvl w:val="0"/>
          <w:numId w:val="37"/>
        </w:numPr>
        <w:spacing w:after="240"/>
        <w:jc w:val="both"/>
        <w:rPr>
          <w:sz w:val="20"/>
          <w:szCs w:val="20"/>
        </w:rPr>
      </w:pPr>
      <w:r>
        <w:rPr>
          <w:b/>
          <w:i/>
          <w:sz w:val="20"/>
          <w:szCs w:val="20"/>
        </w:rPr>
        <w:t>From a rx perspective there is no clear need to support dynamic carrier switching.</w:t>
      </w:r>
    </w:p>
    <w:p w14:paraId="6B915AA0" w14:textId="77777777" w:rsidR="005C7E7C" w:rsidRPr="00DD0F3A" w:rsidRDefault="005C7E7C" w:rsidP="005C7E7C">
      <w:pPr>
        <w:pStyle w:val="BodyText"/>
        <w:spacing w:after="240"/>
        <w:jc w:val="both"/>
        <w:rPr>
          <w:b/>
          <w:i/>
          <w:sz w:val="20"/>
          <w:szCs w:val="20"/>
        </w:rPr>
      </w:pPr>
      <w:r w:rsidRPr="00DD0F3A">
        <w:rPr>
          <w:b/>
          <w:i/>
          <w:sz w:val="20"/>
          <w:szCs w:val="20"/>
        </w:rPr>
        <w:t>Proposals:</w:t>
      </w:r>
    </w:p>
    <w:p w14:paraId="424E9DF1" w14:textId="77777777" w:rsidR="005C7E7C" w:rsidRPr="00DD0F3A" w:rsidRDefault="005C7E7C" w:rsidP="005C7E7C">
      <w:pPr>
        <w:pStyle w:val="BodyText"/>
        <w:numPr>
          <w:ilvl w:val="0"/>
          <w:numId w:val="37"/>
        </w:numPr>
        <w:spacing w:after="240"/>
        <w:jc w:val="both"/>
        <w:rPr>
          <w:sz w:val="20"/>
          <w:szCs w:val="20"/>
        </w:rPr>
      </w:pPr>
      <w:r>
        <w:rPr>
          <w:b/>
          <w:i/>
          <w:sz w:val="20"/>
          <w:szCs w:val="20"/>
        </w:rPr>
        <w:t>SCI changes are useful to provide redundancy of control information across CCs.</w:t>
      </w:r>
    </w:p>
    <w:p w14:paraId="5D0DFD17" w14:textId="77777777" w:rsidR="005C7E7C" w:rsidRDefault="005C7E7C" w:rsidP="005C7E7C">
      <w:pPr>
        <w:pStyle w:val="BodyText"/>
        <w:numPr>
          <w:ilvl w:val="0"/>
          <w:numId w:val="37"/>
        </w:numPr>
        <w:spacing w:after="240"/>
        <w:jc w:val="both"/>
        <w:rPr>
          <w:sz w:val="20"/>
          <w:szCs w:val="20"/>
        </w:rPr>
      </w:pPr>
      <w:r>
        <w:rPr>
          <w:b/>
          <w:i/>
          <w:sz w:val="20"/>
          <w:szCs w:val="20"/>
        </w:rPr>
        <w:t>No major changes to L2/L3 protocols are needed to support CA and MC_Div scenarios.</w:t>
      </w:r>
    </w:p>
    <w:p w14:paraId="35C8B7F9" w14:textId="77777777" w:rsidR="005C7E7C" w:rsidRPr="00DD0F3A" w:rsidRDefault="005C7E7C" w:rsidP="005C7E7C">
      <w:pPr>
        <w:pStyle w:val="BodyText"/>
        <w:spacing w:after="240"/>
        <w:jc w:val="both"/>
        <w:rPr>
          <w:b/>
          <w:i/>
          <w:sz w:val="20"/>
          <w:szCs w:val="20"/>
        </w:rPr>
      </w:pPr>
      <w:r w:rsidRPr="00DD0F3A">
        <w:rPr>
          <w:b/>
          <w:i/>
          <w:sz w:val="20"/>
          <w:szCs w:val="20"/>
        </w:rPr>
        <w:t>Proposals:</w:t>
      </w:r>
    </w:p>
    <w:p w14:paraId="7046AB96" w14:textId="77777777" w:rsidR="005C7E7C" w:rsidRPr="00DD0F3A" w:rsidRDefault="005C7E7C" w:rsidP="005C7E7C">
      <w:pPr>
        <w:pStyle w:val="BodyText"/>
        <w:numPr>
          <w:ilvl w:val="0"/>
          <w:numId w:val="37"/>
        </w:numPr>
        <w:spacing w:after="240"/>
        <w:jc w:val="both"/>
        <w:rPr>
          <w:sz w:val="20"/>
          <w:szCs w:val="20"/>
        </w:rPr>
      </w:pPr>
      <w:r w:rsidRPr="00DD0F3A">
        <w:rPr>
          <w:b/>
          <w:i/>
          <w:sz w:val="20"/>
          <w:szCs w:val="20"/>
        </w:rPr>
        <w:t>Every CC is sensed independently and a UE must sense a carrier according to legacy procedures</w:t>
      </w:r>
      <w:r>
        <w:rPr>
          <w:b/>
          <w:i/>
          <w:sz w:val="20"/>
          <w:szCs w:val="20"/>
        </w:rPr>
        <w:t>.</w:t>
      </w:r>
    </w:p>
    <w:p w14:paraId="1B65E6DC" w14:textId="77777777" w:rsidR="005C7E7C" w:rsidRPr="00DD0F3A" w:rsidRDefault="005C7E7C" w:rsidP="005C7E7C">
      <w:pPr>
        <w:pStyle w:val="BodyText"/>
        <w:spacing w:after="240"/>
        <w:jc w:val="both"/>
        <w:rPr>
          <w:b/>
          <w:i/>
          <w:sz w:val="20"/>
          <w:szCs w:val="20"/>
        </w:rPr>
      </w:pPr>
      <w:r w:rsidRPr="00DD0F3A">
        <w:rPr>
          <w:b/>
          <w:i/>
          <w:sz w:val="20"/>
          <w:szCs w:val="20"/>
        </w:rPr>
        <w:t>Proposal:</w:t>
      </w:r>
    </w:p>
    <w:p w14:paraId="2F565486" w14:textId="77777777" w:rsidR="005C7E7C" w:rsidRPr="00DD0F3A" w:rsidRDefault="005C7E7C" w:rsidP="005C7E7C">
      <w:pPr>
        <w:pStyle w:val="BodyText"/>
        <w:numPr>
          <w:ilvl w:val="0"/>
          <w:numId w:val="37"/>
        </w:numPr>
        <w:spacing w:after="240"/>
        <w:jc w:val="both"/>
        <w:rPr>
          <w:b/>
          <w:i/>
          <w:sz w:val="20"/>
          <w:szCs w:val="20"/>
        </w:rPr>
      </w:pPr>
      <w:r w:rsidRPr="00DD0F3A">
        <w:rPr>
          <w:b/>
          <w:i/>
          <w:sz w:val="20"/>
          <w:szCs w:val="20"/>
        </w:rPr>
        <w:t>All aggregated carriers share the same synchronization reference at a given time (GNSS, eNB or SLSS)</w:t>
      </w:r>
      <w:r>
        <w:rPr>
          <w:b/>
          <w:i/>
          <w:sz w:val="20"/>
          <w:szCs w:val="20"/>
        </w:rPr>
        <w:t>.</w:t>
      </w:r>
    </w:p>
    <w:p w14:paraId="1772E683" w14:textId="77777777" w:rsidR="005C7E7C" w:rsidRPr="00DD0F3A" w:rsidRDefault="005C7E7C" w:rsidP="005C7E7C">
      <w:pPr>
        <w:pStyle w:val="BodyText"/>
        <w:spacing w:after="240"/>
        <w:jc w:val="both"/>
        <w:rPr>
          <w:b/>
          <w:i/>
          <w:sz w:val="20"/>
          <w:szCs w:val="20"/>
        </w:rPr>
      </w:pPr>
      <w:r w:rsidRPr="00DD0F3A">
        <w:rPr>
          <w:b/>
          <w:i/>
          <w:sz w:val="20"/>
          <w:szCs w:val="20"/>
        </w:rPr>
        <w:t>Proposals:</w:t>
      </w:r>
    </w:p>
    <w:p w14:paraId="2E01E41E" w14:textId="77777777" w:rsidR="005C7E7C" w:rsidRDefault="005C7E7C" w:rsidP="005C7E7C">
      <w:pPr>
        <w:pStyle w:val="BodyText"/>
        <w:numPr>
          <w:ilvl w:val="0"/>
          <w:numId w:val="37"/>
        </w:numPr>
        <w:spacing w:after="240"/>
        <w:jc w:val="both"/>
        <w:rPr>
          <w:b/>
          <w:i/>
          <w:sz w:val="20"/>
          <w:szCs w:val="20"/>
        </w:rPr>
      </w:pPr>
      <w:r w:rsidRPr="00DD0F3A">
        <w:rPr>
          <w:b/>
          <w:i/>
          <w:sz w:val="20"/>
          <w:szCs w:val="20"/>
        </w:rPr>
        <w:lastRenderedPageBreak/>
        <w:t>A UE is configured with a single TM over all PC5 CCs at a given time.</w:t>
      </w:r>
    </w:p>
    <w:p w14:paraId="1999130A" w14:textId="77777777" w:rsidR="005C7E7C" w:rsidRPr="005C7E7C" w:rsidRDefault="005C7E7C" w:rsidP="005C7E7C">
      <w:pPr>
        <w:pStyle w:val="BodyText"/>
        <w:numPr>
          <w:ilvl w:val="1"/>
          <w:numId w:val="37"/>
        </w:numPr>
        <w:spacing w:after="240"/>
        <w:jc w:val="both"/>
        <w:rPr>
          <w:b/>
          <w:i/>
          <w:sz w:val="20"/>
          <w:szCs w:val="20"/>
        </w:rPr>
      </w:pPr>
      <w:r w:rsidRPr="007B4EBE">
        <w:rPr>
          <w:b/>
          <w:i/>
          <w:sz w:val="20"/>
          <w:szCs w:val="20"/>
        </w:rPr>
        <w:t>In TM3 the DCI format should indicate the carrier(s) used for transmission of a certain TB</w:t>
      </w:r>
    </w:p>
    <w:p w14:paraId="207C2CB1" w14:textId="66D49770" w:rsidR="005C7E7C" w:rsidRPr="005C7E7C" w:rsidRDefault="005C7E7C" w:rsidP="005C7E7C">
      <w:pPr>
        <w:pStyle w:val="BodyText"/>
        <w:numPr>
          <w:ilvl w:val="1"/>
          <w:numId w:val="37"/>
        </w:numPr>
        <w:spacing w:after="240"/>
        <w:jc w:val="both"/>
        <w:rPr>
          <w:b/>
          <w:i/>
          <w:sz w:val="20"/>
          <w:szCs w:val="20"/>
        </w:rPr>
      </w:pPr>
      <w:r w:rsidRPr="007B4EBE">
        <w:rPr>
          <w:b/>
          <w:i/>
          <w:sz w:val="20"/>
          <w:szCs w:val="20"/>
        </w:rPr>
        <w:t>In TM4, assuming a certain number of CCs that are made available to the UE, the choice of the specific CC(s) that are most suitable for a certain data transmission is left for UE implementation.</w:t>
      </w:r>
    </w:p>
    <w:p w14:paraId="56CB55C5" w14:textId="77777777" w:rsidR="005C7E7C" w:rsidRPr="00DD0F3A" w:rsidRDefault="005C7E7C" w:rsidP="005C7E7C">
      <w:pPr>
        <w:pStyle w:val="BodyText"/>
        <w:numPr>
          <w:ilvl w:val="0"/>
          <w:numId w:val="37"/>
        </w:numPr>
        <w:spacing w:after="240"/>
        <w:jc w:val="both"/>
        <w:rPr>
          <w:b/>
          <w:i/>
          <w:sz w:val="20"/>
          <w:szCs w:val="20"/>
        </w:rPr>
      </w:pPr>
      <w:r w:rsidRPr="00DD0F3A">
        <w:rPr>
          <w:b/>
          <w:i/>
          <w:sz w:val="20"/>
          <w:szCs w:val="20"/>
        </w:rPr>
        <w:t>Congestion control and associated procedures are performed independently per configured CC.</w:t>
      </w:r>
    </w:p>
    <w:p w14:paraId="5026C088" w14:textId="76F23BE0" w:rsidR="00DD0F3A" w:rsidRPr="00834083" w:rsidRDefault="005C7E7C" w:rsidP="00834083">
      <w:pPr>
        <w:pStyle w:val="BodyText"/>
        <w:spacing w:after="240"/>
        <w:jc w:val="both"/>
        <w:rPr>
          <w:sz w:val="20"/>
          <w:szCs w:val="20"/>
        </w:rPr>
      </w:pPr>
      <w:r w:rsidRPr="00DD0F3A" w:rsidDel="005C7E7C">
        <w:rPr>
          <w:b/>
          <w:i/>
          <w:sz w:val="20"/>
          <w:szCs w:val="20"/>
        </w:rPr>
        <w:t xml:space="preserve"> </w:t>
      </w:r>
    </w:p>
    <w:p w14:paraId="79B507AE" w14:textId="7422DF4A" w:rsidR="00706C19" w:rsidRDefault="00706C19" w:rsidP="00706C19">
      <w:pPr>
        <w:pStyle w:val="Heading1"/>
      </w:pPr>
      <w:r w:rsidRPr="00DA1475">
        <w:t>Reference</w:t>
      </w:r>
    </w:p>
    <w:p w14:paraId="78DD0BB2" w14:textId="2E63AC17" w:rsidR="008C4763" w:rsidRPr="001F7362" w:rsidRDefault="008C4763" w:rsidP="001F7362">
      <w:pPr>
        <w:pStyle w:val="ListParagraph"/>
        <w:numPr>
          <w:ilvl w:val="0"/>
          <w:numId w:val="40"/>
        </w:numPr>
        <w:rPr>
          <w:rFonts w:ascii="Times New Roman" w:hAnsi="Times New Roman" w:cs="Times New Roman"/>
          <w:sz w:val="20"/>
          <w:szCs w:val="20"/>
        </w:rPr>
      </w:pPr>
      <w:bookmarkStart w:id="4" w:name="_Ref481849018"/>
      <w:r w:rsidRPr="001F7362">
        <w:rPr>
          <w:rFonts w:ascii="Times New Roman" w:hAnsi="Times New Roman" w:cs="Times New Roman"/>
          <w:color w:val="312E25"/>
          <w:sz w:val="20"/>
          <w:szCs w:val="20"/>
          <w:lang w:eastAsia="sv-SE"/>
        </w:rPr>
        <w:t>R1-1708886</w:t>
      </w:r>
      <w:r w:rsidRPr="001F7362">
        <w:rPr>
          <w:rFonts w:ascii="Times New Roman" w:hAnsi="Times New Roman" w:cs="Times New Roman"/>
          <w:color w:val="312E25"/>
          <w:sz w:val="20"/>
          <w:szCs w:val="20"/>
          <w:lang w:eastAsia="sv-SE"/>
        </w:rPr>
        <w:t xml:space="preserve"> </w:t>
      </w:r>
      <w:r w:rsidRPr="001F7362">
        <w:rPr>
          <w:rFonts w:ascii="Times New Roman" w:hAnsi="Times New Roman" w:cs="Times New Roman"/>
          <w:color w:val="312E25"/>
          <w:sz w:val="20"/>
          <w:szCs w:val="20"/>
          <w:lang w:eastAsia="sv-SE"/>
        </w:rPr>
        <w:t>“On 64 QAM modulation operation for Sidelink communications”, Ericsson</w:t>
      </w:r>
      <w:bookmarkEnd w:id="4"/>
    </w:p>
    <w:p w14:paraId="7CBDA384" w14:textId="0F9E94BC" w:rsidR="008C4763" w:rsidRPr="001F7362" w:rsidRDefault="008C4763" w:rsidP="001F7362">
      <w:pPr>
        <w:pStyle w:val="ListParagraph"/>
        <w:numPr>
          <w:ilvl w:val="0"/>
          <w:numId w:val="40"/>
        </w:numPr>
        <w:rPr>
          <w:rFonts w:ascii="Times New Roman" w:hAnsi="Times New Roman" w:cs="Times New Roman"/>
          <w:sz w:val="20"/>
          <w:szCs w:val="20"/>
        </w:rPr>
      </w:pPr>
      <w:bookmarkStart w:id="5" w:name="_Ref481849019"/>
      <w:r w:rsidRPr="001F7362">
        <w:rPr>
          <w:rFonts w:ascii="Times New Roman" w:hAnsi="Times New Roman" w:cs="Times New Roman"/>
          <w:color w:val="312E25"/>
          <w:sz w:val="20"/>
          <w:szCs w:val="20"/>
          <w:lang w:eastAsia="sv-SE"/>
        </w:rPr>
        <w:t>R1-1708938</w:t>
      </w:r>
      <w:r>
        <w:rPr>
          <w:rFonts w:ascii="Times New Roman" w:hAnsi="Times New Roman" w:cs="Times New Roman"/>
          <w:color w:val="312E25"/>
          <w:sz w:val="20"/>
          <w:szCs w:val="20"/>
          <w:lang w:eastAsia="sv-SE"/>
        </w:rPr>
        <w:t xml:space="preserve"> </w:t>
      </w:r>
      <w:r w:rsidRPr="001F7362">
        <w:rPr>
          <w:rFonts w:ascii="Times New Roman" w:hAnsi="Times New Roman" w:cs="Times New Roman"/>
          <w:color w:val="312E25"/>
          <w:sz w:val="20"/>
          <w:szCs w:val="20"/>
          <w:lang w:eastAsia="sv-SE"/>
        </w:rPr>
        <w:t>“Reducing time-to-transmit for V2X”, Ericsson</w:t>
      </w:r>
      <w:bookmarkEnd w:id="5"/>
    </w:p>
    <w:p w14:paraId="16E326F4" w14:textId="51BCB6F4" w:rsidR="008C4763" w:rsidRPr="001F7362" w:rsidRDefault="008C4763" w:rsidP="001F7362">
      <w:pPr>
        <w:pStyle w:val="ListParagraph"/>
        <w:numPr>
          <w:ilvl w:val="0"/>
          <w:numId w:val="40"/>
        </w:numPr>
        <w:rPr>
          <w:rFonts w:ascii="Times New Roman" w:hAnsi="Times New Roman" w:cs="Times New Roman"/>
          <w:sz w:val="20"/>
          <w:szCs w:val="20"/>
        </w:rPr>
      </w:pPr>
      <w:bookmarkStart w:id="6" w:name="_Ref481849021"/>
      <w:r w:rsidRPr="001F7362">
        <w:rPr>
          <w:rFonts w:ascii="Times New Roman" w:hAnsi="Times New Roman" w:cs="Times New Roman"/>
          <w:color w:val="312E25"/>
          <w:sz w:val="20"/>
          <w:szCs w:val="20"/>
          <w:lang w:eastAsia="sv-SE"/>
        </w:rPr>
        <w:t>R1-1708942 “Radio resource pool sharing between mode 3 and mode 4 UEs”, Ericsson</w:t>
      </w:r>
      <w:bookmarkEnd w:id="6"/>
    </w:p>
    <w:bookmarkEnd w:id="2"/>
    <w:p w14:paraId="288C34CD" w14:textId="77777777" w:rsidR="00AB632B" w:rsidRPr="00420D28" w:rsidRDefault="00AB632B" w:rsidP="003810E1"/>
    <w:sectPr w:rsidR="00AB632B" w:rsidRPr="00420D28" w:rsidSect="004B319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2B1EE6" w14:textId="77777777" w:rsidR="00A352A0" w:rsidRDefault="00A352A0">
      <w:r>
        <w:separator/>
      </w:r>
    </w:p>
  </w:endnote>
  <w:endnote w:type="continuationSeparator" w:id="0">
    <w:p w14:paraId="5F91D592" w14:textId="77777777" w:rsidR="00A352A0" w:rsidRDefault="00A35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4F994"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3E665"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D67E2"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66DDB" w14:textId="77777777" w:rsidR="00A352A0" w:rsidRDefault="00A352A0">
      <w:r>
        <w:separator/>
      </w:r>
    </w:p>
  </w:footnote>
  <w:footnote w:type="continuationSeparator" w:id="0">
    <w:p w14:paraId="3531B7CC" w14:textId="77777777" w:rsidR="00A352A0" w:rsidRDefault="00A35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5515CC"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C2906"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E5A40"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7666F"/>
    <w:multiLevelType w:val="hybridMultilevel"/>
    <w:tmpl w:val="05B2BEE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5" w15:restartNumberingAfterBreak="0">
    <w:nsid w:val="0C2753C0"/>
    <w:multiLevelType w:val="hybridMultilevel"/>
    <w:tmpl w:val="E996BECA"/>
    <w:lvl w:ilvl="0" w:tplc="7722C70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6" w15:restartNumberingAfterBreak="0">
    <w:nsid w:val="0D1051DB"/>
    <w:multiLevelType w:val="hybridMultilevel"/>
    <w:tmpl w:val="EE1C3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0"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FD745C"/>
    <w:multiLevelType w:val="hybridMultilevel"/>
    <w:tmpl w:val="AD0AD9B2"/>
    <w:lvl w:ilvl="0" w:tplc="AADEA4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0D0CA8"/>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002B11"/>
    <w:multiLevelType w:val="hybridMultilevel"/>
    <w:tmpl w:val="47E8EEF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6633F1"/>
    <w:multiLevelType w:val="hybridMultilevel"/>
    <w:tmpl w:val="05B2BEE6"/>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D36C4"/>
    <w:multiLevelType w:val="hybridMultilevel"/>
    <w:tmpl w:val="776E3462"/>
    <w:lvl w:ilvl="0" w:tplc="54D049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7"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35"/>
  </w:num>
  <w:num w:numId="3">
    <w:abstractNumId w:val="32"/>
  </w:num>
  <w:num w:numId="4">
    <w:abstractNumId w:val="18"/>
  </w:num>
  <w:num w:numId="5">
    <w:abstractNumId w:val="23"/>
  </w:num>
  <w:num w:numId="6">
    <w:abstractNumId w:val="36"/>
  </w:num>
  <w:num w:numId="7">
    <w:abstractNumId w:val="3"/>
  </w:num>
  <w:num w:numId="8">
    <w:abstractNumId w:val="28"/>
  </w:num>
  <w:num w:numId="9">
    <w:abstractNumId w:val="16"/>
  </w:num>
  <w:num w:numId="10">
    <w:abstractNumId w:val="24"/>
  </w:num>
  <w:num w:numId="11">
    <w:abstractNumId w:val="37"/>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31"/>
  </w:num>
  <w:num w:numId="17">
    <w:abstractNumId w:val="29"/>
  </w:num>
  <w:num w:numId="18">
    <w:abstractNumId w:val="8"/>
  </w:num>
  <w:num w:numId="19">
    <w:abstractNumId w:val="11"/>
  </w:num>
  <w:num w:numId="20">
    <w:abstractNumId w:val="33"/>
  </w:num>
  <w:num w:numId="21">
    <w:abstractNumId w:val="10"/>
  </w:num>
  <w:num w:numId="22">
    <w:abstractNumId w:val="13"/>
  </w:num>
  <w:num w:numId="23">
    <w:abstractNumId w:val="19"/>
  </w:num>
  <w:num w:numId="24">
    <w:abstractNumId w:val="4"/>
  </w:num>
  <w:num w:numId="25">
    <w:abstractNumId w:val="9"/>
  </w:num>
  <w:num w:numId="26">
    <w:abstractNumId w:val="14"/>
  </w:num>
  <w:num w:numId="27">
    <w:abstractNumId w:val="22"/>
  </w:num>
  <w:num w:numId="28">
    <w:abstractNumId w:val="1"/>
  </w:num>
  <w:num w:numId="29">
    <w:abstractNumId w:val="27"/>
  </w:num>
  <w:num w:numId="30">
    <w:abstractNumId w:val="26"/>
  </w:num>
  <w:num w:numId="31">
    <w:abstractNumId w:val="30"/>
  </w:num>
  <w:num w:numId="32">
    <w:abstractNumId w:val="12"/>
  </w:num>
  <w:num w:numId="33">
    <w:abstractNumId w:val="17"/>
  </w:num>
  <w:num w:numId="34">
    <w:abstractNumId w:val="15"/>
  </w:num>
  <w:num w:numId="35">
    <w:abstractNumId w:val="20"/>
  </w:num>
  <w:num w:numId="36">
    <w:abstractNumId w:val="2"/>
  </w:num>
  <w:num w:numId="37">
    <w:abstractNumId w:val="6"/>
  </w:num>
  <w:num w:numId="38">
    <w:abstractNumId w:val="5"/>
  </w:num>
  <w:num w:numId="39">
    <w:abstractNumId w:val="21"/>
  </w:num>
  <w:num w:numId="4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7E1"/>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6D2"/>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53E"/>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4E38"/>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2EA"/>
    <w:rsid w:val="00097B91"/>
    <w:rsid w:val="00097E2F"/>
    <w:rsid w:val="00097E3C"/>
    <w:rsid w:val="000A0702"/>
    <w:rsid w:val="000A0BB1"/>
    <w:rsid w:val="000A0BEA"/>
    <w:rsid w:val="000A0D1F"/>
    <w:rsid w:val="000A0DBD"/>
    <w:rsid w:val="000A1030"/>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B7A44"/>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1E3"/>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0E13"/>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098"/>
    <w:rsid w:val="00186EE9"/>
    <w:rsid w:val="00187191"/>
    <w:rsid w:val="00187520"/>
    <w:rsid w:val="0018756D"/>
    <w:rsid w:val="0018758B"/>
    <w:rsid w:val="0019044D"/>
    <w:rsid w:val="00190D42"/>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B0D"/>
    <w:rsid w:val="001D3C60"/>
    <w:rsid w:val="001D3FE8"/>
    <w:rsid w:val="001D4923"/>
    <w:rsid w:val="001D4BC3"/>
    <w:rsid w:val="001D53EC"/>
    <w:rsid w:val="001D55E0"/>
    <w:rsid w:val="001D58CB"/>
    <w:rsid w:val="001D5952"/>
    <w:rsid w:val="001D6168"/>
    <w:rsid w:val="001D6812"/>
    <w:rsid w:val="001D77DA"/>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36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6E5"/>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C36"/>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A7768"/>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1F6"/>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27"/>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5CF"/>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B4C"/>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3BC"/>
    <w:rsid w:val="0034576D"/>
    <w:rsid w:val="0034620C"/>
    <w:rsid w:val="00346218"/>
    <w:rsid w:val="00346A51"/>
    <w:rsid w:val="00346DE9"/>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261"/>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99"/>
    <w:rsid w:val="00367AD8"/>
    <w:rsid w:val="00367E44"/>
    <w:rsid w:val="00367F30"/>
    <w:rsid w:val="0037044E"/>
    <w:rsid w:val="00370842"/>
    <w:rsid w:val="003708E2"/>
    <w:rsid w:val="00370B4F"/>
    <w:rsid w:val="00371277"/>
    <w:rsid w:val="003713CC"/>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B09"/>
    <w:rsid w:val="003820B1"/>
    <w:rsid w:val="00382B4F"/>
    <w:rsid w:val="00382E13"/>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1E6"/>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0CB"/>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2C1"/>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2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192"/>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8B0"/>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4A6"/>
    <w:rsid w:val="0046085C"/>
    <w:rsid w:val="004609B5"/>
    <w:rsid w:val="004610B1"/>
    <w:rsid w:val="004612F3"/>
    <w:rsid w:val="0046162D"/>
    <w:rsid w:val="004618C1"/>
    <w:rsid w:val="00461998"/>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394E"/>
    <w:rsid w:val="004B3EE2"/>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2FE"/>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3D1"/>
    <w:rsid w:val="005C2896"/>
    <w:rsid w:val="005C37CB"/>
    <w:rsid w:val="005C39D5"/>
    <w:rsid w:val="005C3AB3"/>
    <w:rsid w:val="005C3C69"/>
    <w:rsid w:val="005C3DDA"/>
    <w:rsid w:val="005C3F88"/>
    <w:rsid w:val="005C433D"/>
    <w:rsid w:val="005C4909"/>
    <w:rsid w:val="005C490F"/>
    <w:rsid w:val="005C4975"/>
    <w:rsid w:val="005C4F9B"/>
    <w:rsid w:val="005C538F"/>
    <w:rsid w:val="005C6288"/>
    <w:rsid w:val="005C676D"/>
    <w:rsid w:val="005C6B1D"/>
    <w:rsid w:val="005C75F5"/>
    <w:rsid w:val="005C761D"/>
    <w:rsid w:val="005C7E7C"/>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4CF3"/>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95"/>
    <w:rsid w:val="005E3EA4"/>
    <w:rsid w:val="005E4062"/>
    <w:rsid w:val="005E4E14"/>
    <w:rsid w:val="005E592C"/>
    <w:rsid w:val="005E5BC3"/>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05E"/>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0E2"/>
    <w:rsid w:val="0061413E"/>
    <w:rsid w:val="00614785"/>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682"/>
    <w:rsid w:val="006729C3"/>
    <w:rsid w:val="00672E68"/>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EAC"/>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56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990"/>
    <w:rsid w:val="006C4A30"/>
    <w:rsid w:val="006C4E03"/>
    <w:rsid w:val="006C6024"/>
    <w:rsid w:val="006C680D"/>
    <w:rsid w:val="006C68D7"/>
    <w:rsid w:val="006C749C"/>
    <w:rsid w:val="006C7848"/>
    <w:rsid w:val="006C7A7E"/>
    <w:rsid w:val="006D0438"/>
    <w:rsid w:val="006D08BC"/>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F04"/>
    <w:rsid w:val="00773419"/>
    <w:rsid w:val="00773504"/>
    <w:rsid w:val="00773794"/>
    <w:rsid w:val="00773835"/>
    <w:rsid w:val="00773BA6"/>
    <w:rsid w:val="00773F36"/>
    <w:rsid w:val="00774363"/>
    <w:rsid w:val="00774385"/>
    <w:rsid w:val="00774C8B"/>
    <w:rsid w:val="00774C9E"/>
    <w:rsid w:val="00775677"/>
    <w:rsid w:val="00775714"/>
    <w:rsid w:val="00775BCC"/>
    <w:rsid w:val="00775D42"/>
    <w:rsid w:val="0077610B"/>
    <w:rsid w:val="00776505"/>
    <w:rsid w:val="007766D2"/>
    <w:rsid w:val="0077671B"/>
    <w:rsid w:val="00776745"/>
    <w:rsid w:val="007769B1"/>
    <w:rsid w:val="00776B7D"/>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9F8"/>
    <w:rsid w:val="00781C3F"/>
    <w:rsid w:val="00781F57"/>
    <w:rsid w:val="00782035"/>
    <w:rsid w:val="007820B6"/>
    <w:rsid w:val="007825F9"/>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9E4"/>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0B"/>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083"/>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C4D"/>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8A7"/>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ABD"/>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63"/>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66A"/>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5A9"/>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C55"/>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0D26"/>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0FE5"/>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DA2"/>
    <w:rsid w:val="00985E90"/>
    <w:rsid w:val="0098647B"/>
    <w:rsid w:val="009868CD"/>
    <w:rsid w:val="00986BD9"/>
    <w:rsid w:val="00986E82"/>
    <w:rsid w:val="00987254"/>
    <w:rsid w:val="00987546"/>
    <w:rsid w:val="00987838"/>
    <w:rsid w:val="00987C5C"/>
    <w:rsid w:val="00990026"/>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28"/>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9A7"/>
    <w:rsid w:val="009E3C66"/>
    <w:rsid w:val="009E3E50"/>
    <w:rsid w:val="009E3E74"/>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2A0"/>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4B6"/>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32B"/>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627"/>
    <w:rsid w:val="00AC7743"/>
    <w:rsid w:val="00AC7C2F"/>
    <w:rsid w:val="00AC7D36"/>
    <w:rsid w:val="00AD0048"/>
    <w:rsid w:val="00AD033A"/>
    <w:rsid w:val="00AD08DE"/>
    <w:rsid w:val="00AD0E8F"/>
    <w:rsid w:val="00AD0F56"/>
    <w:rsid w:val="00AD1507"/>
    <w:rsid w:val="00AD29BD"/>
    <w:rsid w:val="00AD2A5D"/>
    <w:rsid w:val="00AD314A"/>
    <w:rsid w:val="00AD3B68"/>
    <w:rsid w:val="00AD3E38"/>
    <w:rsid w:val="00AD429D"/>
    <w:rsid w:val="00AD448F"/>
    <w:rsid w:val="00AD48A4"/>
    <w:rsid w:val="00AD4CB3"/>
    <w:rsid w:val="00AD4D87"/>
    <w:rsid w:val="00AD5BEA"/>
    <w:rsid w:val="00AD5FC9"/>
    <w:rsid w:val="00AD6BB6"/>
    <w:rsid w:val="00AD6C3C"/>
    <w:rsid w:val="00AD6EF8"/>
    <w:rsid w:val="00AD75A0"/>
    <w:rsid w:val="00AD75C0"/>
    <w:rsid w:val="00AD766C"/>
    <w:rsid w:val="00AE0695"/>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EDB"/>
    <w:rsid w:val="00AF09E2"/>
    <w:rsid w:val="00AF0C96"/>
    <w:rsid w:val="00AF1458"/>
    <w:rsid w:val="00AF15D1"/>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6C64"/>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B09"/>
    <w:rsid w:val="00B16F75"/>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77F7D"/>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0BF"/>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8D0"/>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99B"/>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44"/>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3E83"/>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29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1D97"/>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7C1"/>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CDD"/>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8D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8C7"/>
    <w:rsid w:val="00DB3AB9"/>
    <w:rsid w:val="00DB3DC7"/>
    <w:rsid w:val="00DB3E45"/>
    <w:rsid w:val="00DB43B0"/>
    <w:rsid w:val="00DB596B"/>
    <w:rsid w:val="00DB5DFD"/>
    <w:rsid w:val="00DB5E37"/>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0F3A"/>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381"/>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3FD9"/>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58D"/>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4A9B"/>
    <w:rsid w:val="00E7564A"/>
    <w:rsid w:val="00E75736"/>
    <w:rsid w:val="00E75D93"/>
    <w:rsid w:val="00E765F9"/>
    <w:rsid w:val="00E76F7C"/>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BE1"/>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996"/>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560"/>
    <w:rsid w:val="00F44B0A"/>
    <w:rsid w:val="00F44CF0"/>
    <w:rsid w:val="00F44F52"/>
    <w:rsid w:val="00F45319"/>
    <w:rsid w:val="00F45882"/>
    <w:rsid w:val="00F45EBD"/>
    <w:rsid w:val="00F45FF2"/>
    <w:rsid w:val="00F46028"/>
    <w:rsid w:val="00F461C6"/>
    <w:rsid w:val="00F464DC"/>
    <w:rsid w:val="00F469EF"/>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77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E6"/>
    <w:rsid w:val="00FE3DE8"/>
    <w:rsid w:val="00FE3E8D"/>
    <w:rsid w:val="00FE43E8"/>
    <w:rsid w:val="00FE47FF"/>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70860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paragraph" w:customStyle="1" w:styleId="NumberedList">
    <w:name w:val="Numbered List"/>
    <w:basedOn w:val="Normal"/>
    <w:rsid w:val="003453BC"/>
    <w:pPr>
      <w:numPr>
        <w:numId w:val="33"/>
      </w:numPr>
      <w:spacing w:after="0"/>
      <w:jc w:val="both"/>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2017-05-05T14:42:00Z</dcterms:created>
  <dcterms:modified xsi:type="dcterms:W3CDTF">2017-05-06T13:48:00Z</dcterms:modified>
</cp:coreProperties>
</file>